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51CC1" w:rsidR="00360760" w:rsidP="009F359F" w:rsidRDefault="00360760">
      <w:pPr>
        <w:pStyle w:val="Ttulo"/>
        <w:tabs>
          <w:tab w:val="center" w:pos="4535"/>
        </w:tabs>
      </w:pPr>
      <w:bookmarkStart w:name="_GoBack" w:id="0"/>
      <w:bookmarkEnd w:id="0"/>
      <w:r w:rsidRPr="00A51CC1">
        <w:t>Índice</w:t>
      </w:r>
      <w:r w:rsidR="009F359F">
        <w:tab/>
      </w:r>
    </w:p>
    <w:p w:rsidR="00554224" w:rsidRDefault="000C01E2">
      <w:pPr>
        <w:pStyle w:val="ndice1"/>
        <w:tabs>
          <w:tab w:val="right" w:leader="dot" w:pos="9061"/>
        </w:tabs>
        <w:rPr>
          <w:rFonts w:eastAsiaTheme="minorEastAsia" w:cstheme="minorBidi"/>
          <w:b w:val="0"/>
          <w:noProof/>
          <w:sz w:val="22"/>
          <w:szCs w:val="22"/>
        </w:rPr>
      </w:pPr>
      <w:r>
        <w:rPr>
          <w:b w:val="0"/>
        </w:rPr>
        <w:fldChar w:fldCharType="begin"/>
      </w:r>
      <w:r w:rsidR="00554224">
        <w:rPr>
          <w:b w:val="0"/>
        </w:rPr>
        <w:instrText xml:space="preserve"> TOC \o "1-1" \n \u </w:instrText>
      </w:r>
      <w:r>
        <w:rPr>
          <w:b w:val="0"/>
        </w:rPr>
        <w:fldChar w:fldCharType="separate"/>
      </w:r>
      <w:r w:rsidR="00554224">
        <w:rPr>
          <w:noProof/>
        </w:rPr>
        <w:t>Texto da Instrução</w:t>
      </w:r>
    </w:p>
    <w:p w:rsidRPr="00360760" w:rsidR="00360760" w:rsidP="000B303F" w:rsidRDefault="000C01E2">
      <w:pPr>
        <w:pStyle w:val="Moradaenvio"/>
        <w:tabs>
          <w:tab w:val="right" w:pos="9072"/>
        </w:tabs>
        <w:spacing w:after="60"/>
      </w:pPr>
      <w:r>
        <w:rPr>
          <w:b/>
          <w:sz w:val="20"/>
        </w:rPr>
        <w:fldChar w:fldCharType="end"/>
      </w:r>
    </w:p>
    <w:p w:rsidRPr="00A51CC1" w:rsidR="00360760" w:rsidP="002B579C" w:rsidRDefault="007621BF">
      <w:pPr>
        <w:pStyle w:val="Cabealho1"/>
      </w:pPr>
      <w:bookmarkStart w:name="_Toc380078291" w:id="1"/>
      <w:r>
        <w:t>Texto da I</w:t>
      </w:r>
      <w:r w:rsidRPr="00A51CC1" w:rsidR="00360760">
        <w:t>nstrução</w:t>
      </w:r>
      <w:bookmarkEnd w:id="1"/>
    </w:p>
    <w:p w:rsidR="009E1AAF" w:rsidP="00667418" w:rsidRDefault="003A42AB">
      <w:pPr>
        <w:pStyle w:val="SemEspaamento"/>
        <w:rPr>
          <w:rStyle w:val="TextoChar"/>
          <w:rFonts w:eastAsiaTheme="minorHAnsi"/>
        </w:rPr>
      </w:pPr>
      <w:r w:rsidRPr="00667418">
        <w:rPr>
          <w:b/>
          <w:sz w:val="18"/>
          <w:szCs w:val="18"/>
        </w:rPr>
        <w:t>Assunto:</w:t>
      </w:r>
      <w:r w:rsidRPr="00BE703E" w:rsidR="00975A88">
        <w:rPr>
          <w:b/>
          <w:szCs w:val="18"/>
        </w:rPr>
        <w:t xml:space="preserve"> </w:t>
      </w:r>
      <w:sdt>
        <w:sdtPr>
          <w:rPr>
            <w:rStyle w:val="TextoChar"/>
            <w:rFonts w:eastAsiaTheme="minorHAnsi"/>
          </w:rPr>
          <w:alias w:val="Assunto"/>
          <w:tag w:val="CAT_111772777_46_1"/>
          <w:id w:val="33005166"/>
          <w:placeholder>
            <w:docPart w:val="2E0AD1D8ABC942538977CFCD5F92CC5D"/>
          </w:placeholder>
        </w:sdtPr>
        <w:sdtEndPr>
          <w:rPr>
            <w:rStyle w:val="TextoChar"/>
          </w:rPr>
        </w:sdtEndPr>
        <w:sdtContent>
          <w:r>
            <w:rPr>
              <w:rStyle w:val="TextoChar"/>
            </w:rPr>
            <w:t>Instrução sobre a gestão e reporte, pelos prestadores de serviços de pagamento, dos riscos operacionais e de segurança </w:t>
          </w:r>
        </w:sdtContent>
      </w:sdt>
    </w:p>
    <w:p w:rsidR="00C30714" w:rsidP="00E73F25" w:rsidRDefault="00C30714">
      <w:pPr>
        <w:spacing w:after="200"/>
        <w:jc w:val="left"/>
        <w:rPr>
          <w:rStyle w:val="TextoChar"/>
          <w:rFonts w:eastAsiaTheme="minorHAnsi"/>
        </w:rPr>
      </w:pP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overflowPunct w:val="0"/>
        <w:autoSpaceDE w:val="0"/>
        <w:autoSpaceDN w:val="0"/>
        <w:adjustRightInd w:val="0"/>
        <w:spacing w:before="192" w:beforeLines="80" w:after="192" w:afterLines="80"/>
        <w:ind w:firstLine="284"/>
        <w:textAlignment w:val="baseline"/>
        <w:rPr>
          <w:rFonts w:asciiTheme="minorHAnsi" w:hAnsiTheme="minorHAnsi" w:cstheme="minorHAnsi"/>
        </w:rPr>
      </w:pPr>
      <w:r w:rsidRPr="00837C2C">
        <w:rPr>
          <w:rFonts w:asciiTheme="minorHAnsi" w:hAnsiTheme="minorHAnsi" w:cstheme="minorHAnsi"/>
        </w:rPr>
        <w:t>Em 2017, a Autoridade Bancária Europeia (</w:t>
      </w:r>
      <w:proofErr w:type="spellStart"/>
      <w:r w:rsidRPr="00837C2C">
        <w:rPr>
          <w:rFonts w:asciiTheme="minorHAnsi" w:hAnsiTheme="minorHAnsi" w:cstheme="minorHAnsi"/>
        </w:rPr>
        <w:t>EBA</w:t>
      </w:r>
      <w:proofErr w:type="spellEnd"/>
      <w:r w:rsidRPr="00837C2C">
        <w:rPr>
          <w:rFonts w:asciiTheme="minorHAnsi" w:hAnsiTheme="minorHAnsi" w:cstheme="minorHAnsi"/>
        </w:rPr>
        <w:t>) publicou as “</w:t>
      </w:r>
      <w:hyperlink w:history="1" r:id="rId7">
        <w:r w:rsidRPr="00837C2C">
          <w:rPr>
            <w:rFonts w:asciiTheme="minorHAnsi" w:hAnsiTheme="minorHAnsi" w:cstheme="minorHAnsi"/>
          </w:rPr>
          <w:t>Orientações sobre medidas de segurança para gerir os riscos operacionais e de segurança ao abrigo da Diretiva (UE) 2015/2366</w:t>
        </w:r>
      </w:hyperlink>
      <w:r w:rsidRPr="00837C2C">
        <w:rPr>
          <w:rFonts w:asciiTheme="minorHAnsi" w:hAnsiTheme="minorHAnsi" w:cstheme="minorHAnsi"/>
        </w:rPr>
        <w:t>” (</w:t>
      </w:r>
      <w:proofErr w:type="spellStart"/>
      <w:r w:rsidRPr="00837C2C">
        <w:rPr>
          <w:rFonts w:asciiTheme="minorHAnsi" w:hAnsiTheme="minorHAnsi" w:cstheme="minorHAnsi"/>
        </w:rPr>
        <w:t>EBA</w:t>
      </w:r>
      <w:proofErr w:type="spellEnd"/>
      <w:r w:rsidRPr="00837C2C">
        <w:rPr>
          <w:rFonts w:asciiTheme="minorHAnsi" w:hAnsiTheme="minorHAnsi" w:cstheme="minorHAnsi"/>
        </w:rPr>
        <w:t>/</w:t>
      </w:r>
      <w:proofErr w:type="spellStart"/>
      <w:r w:rsidRPr="00837C2C">
        <w:rPr>
          <w:rFonts w:asciiTheme="minorHAnsi" w:hAnsiTheme="minorHAnsi" w:cstheme="minorHAnsi"/>
        </w:rPr>
        <w:t>GL</w:t>
      </w:r>
      <w:proofErr w:type="spellEnd"/>
      <w:r w:rsidRPr="00837C2C">
        <w:rPr>
          <w:rFonts w:asciiTheme="minorHAnsi" w:hAnsiTheme="minorHAnsi" w:cstheme="minorHAnsi"/>
        </w:rPr>
        <w:t>/2017/17), estabelecendo um conjunto de requisitos de segurança nas Tecnologias de Informação e Comunicação (</w:t>
      </w:r>
      <w:proofErr w:type="spellStart"/>
      <w:r w:rsidRPr="00837C2C">
        <w:rPr>
          <w:rFonts w:asciiTheme="minorHAnsi" w:hAnsiTheme="minorHAnsi" w:cstheme="minorHAnsi"/>
        </w:rPr>
        <w:t>TIC</w:t>
      </w:r>
      <w:proofErr w:type="spellEnd"/>
      <w:r w:rsidRPr="00837C2C">
        <w:rPr>
          <w:rFonts w:asciiTheme="minorHAnsi" w:hAnsiTheme="minorHAnsi" w:cstheme="minorHAnsi"/>
        </w:rPr>
        <w:t>) dos prestadores de serviços de pagamento (PSP).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overflowPunct w:val="0"/>
        <w:autoSpaceDE w:val="0"/>
        <w:autoSpaceDN w:val="0"/>
        <w:adjustRightInd w:val="0"/>
        <w:spacing w:before="192" w:beforeLines="80" w:after="192" w:afterLines="80"/>
        <w:ind w:firstLine="284"/>
        <w:textAlignment w:val="baseline"/>
        <w:rPr>
          <w:rFonts w:asciiTheme="minorHAnsi" w:hAnsiTheme="minorHAnsi" w:cstheme="minorHAnsi"/>
        </w:rPr>
      </w:pPr>
      <w:r w:rsidRPr="00837C2C">
        <w:rPr>
          <w:rFonts w:asciiTheme="minorHAnsi" w:hAnsiTheme="minorHAnsi" w:cstheme="minorHAnsi"/>
        </w:rPr>
        <w:t xml:space="preserve">Adicionalmente, também em 2017, a </w:t>
      </w:r>
      <w:proofErr w:type="spellStart"/>
      <w:r w:rsidRPr="00837C2C">
        <w:rPr>
          <w:rFonts w:asciiTheme="minorHAnsi" w:hAnsiTheme="minorHAnsi" w:cstheme="minorHAnsi"/>
        </w:rPr>
        <w:t>EBA</w:t>
      </w:r>
      <w:proofErr w:type="spellEnd"/>
      <w:r w:rsidRPr="00837C2C">
        <w:rPr>
          <w:rFonts w:asciiTheme="minorHAnsi" w:hAnsiTheme="minorHAnsi" w:cstheme="minorHAnsi"/>
        </w:rPr>
        <w:t xml:space="preserve"> publicou as “</w:t>
      </w:r>
      <w:hyperlink w:history="1" r:id="rId8">
        <w:r w:rsidRPr="00837C2C">
          <w:rPr>
            <w:rFonts w:asciiTheme="minorHAnsi" w:hAnsiTheme="minorHAnsi" w:cstheme="minorHAnsi"/>
          </w:rPr>
          <w:t xml:space="preserve">Orientações relativas à avaliação do risco </w:t>
        </w:r>
        <w:proofErr w:type="gramStart"/>
        <w:r w:rsidRPr="00837C2C">
          <w:rPr>
            <w:rFonts w:asciiTheme="minorHAnsi" w:hAnsiTheme="minorHAnsi" w:cstheme="minorHAnsi"/>
          </w:rPr>
          <w:t xml:space="preserve">das </w:t>
        </w:r>
        <w:proofErr w:type="spellStart"/>
        <w:r w:rsidRPr="00837C2C">
          <w:rPr>
            <w:rFonts w:asciiTheme="minorHAnsi" w:hAnsiTheme="minorHAnsi" w:cstheme="minorHAnsi"/>
          </w:rPr>
          <w:t>TIC</w:t>
        </w:r>
        <w:proofErr w:type="spellEnd"/>
        <w:proofErr w:type="gramEnd"/>
        <w:r w:rsidRPr="00837C2C">
          <w:rPr>
            <w:rFonts w:asciiTheme="minorHAnsi" w:hAnsiTheme="minorHAnsi" w:cstheme="minorHAnsi"/>
          </w:rPr>
          <w:t xml:space="preserve"> no âmbito do processo de revisão e avaliação pelo supervisor (</w:t>
        </w:r>
        <w:proofErr w:type="spellStart"/>
        <w:r w:rsidRPr="00837C2C">
          <w:rPr>
            <w:rFonts w:asciiTheme="minorHAnsi" w:hAnsiTheme="minorHAnsi" w:cstheme="minorHAnsi"/>
          </w:rPr>
          <w:t>SREP</w:t>
        </w:r>
        <w:proofErr w:type="spellEnd"/>
        <w:r w:rsidRPr="00837C2C">
          <w:rPr>
            <w:rFonts w:asciiTheme="minorHAnsi" w:hAnsiTheme="minorHAnsi" w:cstheme="minorHAnsi"/>
          </w:rPr>
          <w:t>)</w:t>
        </w:r>
      </w:hyperlink>
      <w:r w:rsidRPr="00837C2C">
        <w:rPr>
          <w:rFonts w:asciiTheme="minorHAnsi" w:hAnsiTheme="minorHAnsi" w:cstheme="minorHAnsi"/>
        </w:rPr>
        <w:t>” (</w:t>
      </w:r>
      <w:proofErr w:type="spellStart"/>
      <w:r w:rsidRPr="00837C2C">
        <w:rPr>
          <w:rFonts w:asciiTheme="minorHAnsi" w:hAnsiTheme="minorHAnsi" w:cstheme="minorHAnsi"/>
        </w:rPr>
        <w:t>EBA</w:t>
      </w:r>
      <w:proofErr w:type="spellEnd"/>
      <w:r w:rsidRPr="00837C2C">
        <w:rPr>
          <w:rFonts w:asciiTheme="minorHAnsi" w:hAnsiTheme="minorHAnsi" w:cstheme="minorHAnsi"/>
        </w:rPr>
        <w:t>/</w:t>
      </w:r>
      <w:proofErr w:type="spellStart"/>
      <w:r w:rsidRPr="00837C2C">
        <w:rPr>
          <w:rFonts w:asciiTheme="minorHAnsi" w:hAnsiTheme="minorHAnsi" w:cstheme="minorHAnsi"/>
        </w:rPr>
        <w:t>GL</w:t>
      </w:r>
      <w:proofErr w:type="spellEnd"/>
      <w:r w:rsidRPr="00837C2C">
        <w:rPr>
          <w:rFonts w:asciiTheme="minorHAnsi" w:hAnsiTheme="minorHAnsi" w:cstheme="minorHAnsi"/>
        </w:rPr>
        <w:t xml:space="preserve">/2017/05) com o objetivo de garantir a convergência das práticas de supervisão na avaliação do risco das </w:t>
      </w:r>
      <w:proofErr w:type="spellStart"/>
      <w:r w:rsidRPr="00837C2C">
        <w:rPr>
          <w:rFonts w:asciiTheme="minorHAnsi" w:hAnsiTheme="minorHAnsi" w:cstheme="minorHAnsi"/>
        </w:rPr>
        <w:t>TIC</w:t>
      </w:r>
      <w:proofErr w:type="spellEnd"/>
      <w:r w:rsidRPr="00837C2C">
        <w:rPr>
          <w:rFonts w:asciiTheme="minorHAnsi" w:hAnsiTheme="minorHAnsi" w:cstheme="minorHAnsi"/>
        </w:rPr>
        <w:t xml:space="preserve">, tal como especificado de forma detalhada nas “Orientações da </w:t>
      </w:r>
      <w:proofErr w:type="spellStart"/>
      <w:r w:rsidRPr="00837C2C">
        <w:rPr>
          <w:rFonts w:asciiTheme="minorHAnsi" w:hAnsiTheme="minorHAnsi" w:cstheme="minorHAnsi"/>
        </w:rPr>
        <w:t>EBA</w:t>
      </w:r>
      <w:proofErr w:type="spellEnd"/>
      <w:r w:rsidRPr="00837C2C">
        <w:rPr>
          <w:rFonts w:asciiTheme="minorHAnsi" w:hAnsiTheme="minorHAnsi" w:cstheme="minorHAnsi"/>
        </w:rPr>
        <w:t xml:space="preserve"> relativas aos procedimentos e metodologias comuns a seguir no âmbito do </w:t>
      </w:r>
      <w:proofErr w:type="spellStart"/>
      <w:r w:rsidRPr="00837C2C">
        <w:rPr>
          <w:rFonts w:asciiTheme="minorHAnsi" w:hAnsiTheme="minorHAnsi" w:cstheme="minorHAnsi"/>
        </w:rPr>
        <w:t>SREP</w:t>
      </w:r>
      <w:proofErr w:type="spellEnd"/>
      <w:r w:rsidRPr="00837C2C">
        <w:rPr>
          <w:rFonts w:asciiTheme="minorHAnsi" w:hAnsiTheme="minorHAnsi" w:cstheme="minorHAnsi"/>
        </w:rPr>
        <w:t>” (</w:t>
      </w:r>
      <w:proofErr w:type="spellStart"/>
      <w:r w:rsidRPr="00837C2C">
        <w:rPr>
          <w:rFonts w:asciiTheme="minorHAnsi" w:hAnsiTheme="minorHAnsi" w:cstheme="minorHAnsi"/>
        </w:rPr>
        <w:t>EBA</w:t>
      </w:r>
      <w:proofErr w:type="spellEnd"/>
      <w:r w:rsidRPr="00837C2C">
        <w:rPr>
          <w:rFonts w:asciiTheme="minorHAnsi" w:hAnsiTheme="minorHAnsi" w:cstheme="minorHAnsi"/>
        </w:rPr>
        <w:t>/</w:t>
      </w:r>
      <w:proofErr w:type="spellStart"/>
      <w:r w:rsidRPr="00837C2C">
        <w:rPr>
          <w:rFonts w:asciiTheme="minorHAnsi" w:hAnsiTheme="minorHAnsi" w:cstheme="minorHAnsi"/>
        </w:rPr>
        <w:t>GL</w:t>
      </w:r>
      <w:proofErr w:type="spellEnd"/>
      <w:r w:rsidRPr="00837C2C">
        <w:rPr>
          <w:rFonts w:asciiTheme="minorHAnsi" w:hAnsiTheme="minorHAnsi" w:cstheme="minorHAnsi"/>
        </w:rPr>
        <w:t xml:space="preserve">/2014/13). 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overflowPunct w:val="0"/>
        <w:autoSpaceDE w:val="0"/>
        <w:autoSpaceDN w:val="0"/>
        <w:adjustRightInd w:val="0"/>
        <w:spacing w:before="192" w:beforeLines="80" w:after="192" w:afterLines="80"/>
        <w:ind w:firstLine="284"/>
        <w:textAlignment w:val="baseline"/>
        <w:rPr>
          <w:rFonts w:asciiTheme="minorHAnsi" w:hAnsiTheme="minorHAnsi" w:cstheme="minorHAnsi"/>
        </w:rPr>
      </w:pPr>
      <w:r w:rsidRPr="00837C2C">
        <w:rPr>
          <w:rFonts w:asciiTheme="minorHAnsi" w:hAnsiTheme="minorHAnsi" w:cstheme="minorHAnsi"/>
        </w:rPr>
        <w:t xml:space="preserve">Em fevereiro de 2019, a </w:t>
      </w:r>
      <w:proofErr w:type="spellStart"/>
      <w:r w:rsidRPr="00837C2C">
        <w:rPr>
          <w:rFonts w:asciiTheme="minorHAnsi" w:hAnsiTheme="minorHAnsi" w:cstheme="minorHAnsi"/>
        </w:rPr>
        <w:t>EBA</w:t>
      </w:r>
      <w:proofErr w:type="spellEnd"/>
      <w:r w:rsidRPr="00837C2C">
        <w:rPr>
          <w:rFonts w:asciiTheme="minorHAnsi" w:hAnsiTheme="minorHAnsi" w:cstheme="minorHAnsi"/>
        </w:rPr>
        <w:t xml:space="preserve"> publicou as “</w:t>
      </w:r>
      <w:hyperlink w:history="1" r:id="rId9">
        <w:r w:rsidRPr="00837C2C">
          <w:rPr>
            <w:rFonts w:asciiTheme="minorHAnsi" w:hAnsiTheme="minorHAnsi" w:cstheme="minorHAnsi"/>
          </w:rPr>
          <w:t>Orientações sobre Subcontratação Externa</w:t>
        </w:r>
      </w:hyperlink>
      <w:r w:rsidRPr="00837C2C">
        <w:rPr>
          <w:rFonts w:asciiTheme="minorHAnsi" w:hAnsiTheme="minorHAnsi" w:cstheme="minorHAnsi"/>
        </w:rPr>
        <w:t>” (</w:t>
      </w:r>
      <w:proofErr w:type="spellStart"/>
      <w:r w:rsidRPr="00837C2C">
        <w:rPr>
          <w:rFonts w:asciiTheme="minorHAnsi" w:hAnsiTheme="minorHAnsi" w:cstheme="minorHAnsi"/>
        </w:rPr>
        <w:t>EBA</w:t>
      </w:r>
      <w:proofErr w:type="spellEnd"/>
      <w:r w:rsidRPr="00837C2C">
        <w:rPr>
          <w:rFonts w:asciiTheme="minorHAnsi" w:hAnsiTheme="minorHAnsi" w:cstheme="minorHAnsi"/>
        </w:rPr>
        <w:t>/</w:t>
      </w:r>
      <w:proofErr w:type="spellStart"/>
      <w:r w:rsidRPr="00837C2C">
        <w:rPr>
          <w:rFonts w:asciiTheme="minorHAnsi" w:hAnsiTheme="minorHAnsi" w:cstheme="minorHAnsi"/>
        </w:rPr>
        <w:t>GL</w:t>
      </w:r>
      <w:proofErr w:type="spellEnd"/>
      <w:r w:rsidRPr="00837C2C">
        <w:rPr>
          <w:rFonts w:asciiTheme="minorHAnsi" w:hAnsiTheme="minorHAnsi" w:cstheme="minorHAnsi"/>
        </w:rPr>
        <w:t xml:space="preserve">/2019/02) que estabelecem procedimentos e requisitos para uma gestão eficaz da subcontratação externa </w:t>
      </w:r>
      <w:proofErr w:type="gramStart"/>
      <w:r w:rsidRPr="00837C2C">
        <w:rPr>
          <w:rFonts w:asciiTheme="minorHAnsi" w:hAnsiTheme="minorHAnsi" w:cstheme="minorHAnsi"/>
        </w:rPr>
        <w:t xml:space="preserve">das </w:t>
      </w:r>
      <w:proofErr w:type="spellStart"/>
      <w:r w:rsidRPr="00837C2C">
        <w:rPr>
          <w:rFonts w:asciiTheme="minorHAnsi" w:hAnsiTheme="minorHAnsi" w:cstheme="minorHAnsi"/>
        </w:rPr>
        <w:t>TIC</w:t>
      </w:r>
      <w:proofErr w:type="spellEnd"/>
      <w:proofErr w:type="gramEnd"/>
      <w:r w:rsidRPr="00837C2C">
        <w:rPr>
          <w:rFonts w:asciiTheme="minorHAnsi" w:hAnsiTheme="minorHAnsi" w:cstheme="minorHAnsi"/>
        </w:rPr>
        <w:t xml:space="preserve">, tendo para este efeito o Banco de Portugal emitido a </w:t>
      </w:r>
      <w:r w:rsidRPr="00837C2C">
        <w:t>Carta Circular n.º CC/2019/00000065</w:t>
      </w:r>
      <w:r w:rsidRPr="00837C2C">
        <w:rPr>
          <w:rFonts w:cs="Arial" w:asciiTheme="minorHAnsi" w:hAnsiTheme="minorHAnsi"/>
          <w:vertAlign w:val="superscript"/>
        </w:rPr>
        <w:footnoteReference w:id="1"/>
      </w:r>
      <w:r w:rsidRPr="00837C2C">
        <w:rPr>
          <w:rFonts w:cs="Arial" w:asciiTheme="minorHAnsi" w:hAnsiTheme="minorHAnsi"/>
        </w:rPr>
        <w:t>.</w:t>
      </w:r>
    </w:p>
    <w:p w:rsidRPr="00837C2C" w:rsidR="00837C2C" w:rsidP="00837C2C" w:rsidRDefault="00837C2C">
      <w:pPr>
        <w:tabs>
          <w:tab w:val="left" w:pos="426"/>
        </w:tabs>
        <w:spacing w:before="240"/>
        <w:ind w:firstLine="284"/>
      </w:pPr>
      <w:r w:rsidRPr="00837C2C">
        <w:t xml:space="preserve">Mais recentemente, a 28 de novembro de 2019, a </w:t>
      </w:r>
      <w:proofErr w:type="spellStart"/>
      <w:r w:rsidRPr="00837C2C">
        <w:t>EBA</w:t>
      </w:r>
      <w:proofErr w:type="spellEnd"/>
      <w:r w:rsidRPr="00837C2C">
        <w:t xml:space="preserve"> publicou as “Orientações relativas à gestão dos riscos associados </w:t>
      </w:r>
      <w:proofErr w:type="gramStart"/>
      <w:r w:rsidRPr="00837C2C">
        <w:t xml:space="preserve">às </w:t>
      </w:r>
      <w:proofErr w:type="spellStart"/>
      <w:r w:rsidRPr="00837C2C">
        <w:t>TIC</w:t>
      </w:r>
      <w:proofErr w:type="spellEnd"/>
      <w:proofErr w:type="gramEnd"/>
      <w:r w:rsidRPr="00837C2C">
        <w:t xml:space="preserve"> e à segurança” (</w:t>
      </w:r>
      <w:proofErr w:type="spellStart"/>
      <w:r w:rsidRPr="00837C2C">
        <w:t>EBA</w:t>
      </w:r>
      <w:proofErr w:type="spellEnd"/>
      <w:r w:rsidRPr="00837C2C">
        <w:t>/</w:t>
      </w:r>
      <w:proofErr w:type="spellStart"/>
      <w:r w:rsidRPr="00837C2C">
        <w:t>GL</w:t>
      </w:r>
      <w:proofErr w:type="spellEnd"/>
      <w:r w:rsidRPr="00837C2C">
        <w:t>/2019/04, doravante “Orientações”), dirigidas a instituições de crédito, empresas de investimento e PSP</w:t>
      </w:r>
      <w:r w:rsidRPr="00837C2C">
        <w:rPr>
          <w:vertAlign w:val="superscript"/>
        </w:rPr>
        <w:footnoteReference w:id="2"/>
      </w:r>
      <w:r w:rsidRPr="00837C2C">
        <w:t xml:space="preserve">. Estas Orientações </w:t>
      </w:r>
      <w:r w:rsidRPr="00837C2C">
        <w:rPr>
          <w:lang w:eastAsia="pt-PT"/>
        </w:rPr>
        <w:t>incorporam e revogam as anteriores “Orientações sobre medidas de segurança para gerir os riscos operacionais e de segurança ao abrigo da Diretiva (UE) 2015/2366” (</w:t>
      </w:r>
      <w:proofErr w:type="spellStart"/>
      <w:r w:rsidRPr="00837C2C">
        <w:rPr>
          <w:lang w:eastAsia="pt-PT"/>
        </w:rPr>
        <w:t>EBA</w:t>
      </w:r>
      <w:proofErr w:type="spellEnd"/>
      <w:r w:rsidRPr="00837C2C">
        <w:rPr>
          <w:lang w:eastAsia="pt-PT"/>
        </w:rPr>
        <w:t>/</w:t>
      </w:r>
      <w:proofErr w:type="spellStart"/>
      <w:r w:rsidRPr="00837C2C">
        <w:rPr>
          <w:lang w:eastAsia="pt-PT"/>
        </w:rPr>
        <w:t>GL</w:t>
      </w:r>
      <w:proofErr w:type="spellEnd"/>
      <w:r w:rsidRPr="00837C2C">
        <w:rPr>
          <w:lang w:eastAsia="pt-PT"/>
        </w:rPr>
        <w:t xml:space="preserve">/2017/17). Em concreto, as Orientações especificam as medidas e procedimentos que as instituições financeiras devem adotar, no âmbito do risco operacional e governo interno, para gerir os seus riscos associados às </w:t>
      </w:r>
      <w:proofErr w:type="spellStart"/>
      <w:r w:rsidRPr="00837C2C">
        <w:rPr>
          <w:lang w:eastAsia="pt-PT"/>
        </w:rPr>
        <w:t>TIC</w:t>
      </w:r>
      <w:proofErr w:type="spellEnd"/>
      <w:r w:rsidRPr="00837C2C">
        <w:rPr>
          <w:lang w:eastAsia="pt-PT"/>
        </w:rPr>
        <w:t xml:space="preserve"> e à segurança (no qual se incluem, entre outros, por um lado o risco de </w:t>
      </w:r>
      <w:proofErr w:type="spellStart"/>
      <w:r w:rsidRPr="00837C2C">
        <w:rPr>
          <w:lang w:eastAsia="pt-PT"/>
        </w:rPr>
        <w:t>cibersegurança</w:t>
      </w:r>
      <w:proofErr w:type="spellEnd"/>
      <w:r w:rsidRPr="00837C2C">
        <w:rPr>
          <w:lang w:eastAsia="pt-PT"/>
        </w:rPr>
        <w:t xml:space="preserve"> e, por outro os riscos operacionais e de segurança relacionados com os serviços de pagamento).</w:t>
      </w:r>
    </w:p>
    <w:p w:rsidRPr="00837C2C" w:rsidR="00837C2C" w:rsidP="00837C2C" w:rsidRDefault="00837C2C">
      <w:pPr>
        <w:tabs>
          <w:tab w:val="left" w:pos="426"/>
        </w:tabs>
        <w:spacing w:before="240"/>
        <w:ind w:firstLine="284"/>
      </w:pPr>
      <w:r w:rsidRPr="00837C2C">
        <w:lastRenderedPageBreak/>
        <w:t>Neste âmbito, as Orientações preveem, através de remissão para o disposto no n.º 2 do artigo 95.º da Diretiva (UE) 2015/2366 do Parlamento Europeu e do Conselho de 25 de novembro de 2015, relativa aos serviços de pagamento no mercado interno (DSP2)</w:t>
      </w:r>
      <w:r w:rsidRPr="00837C2C">
        <w:rPr>
          <w:vertAlign w:val="superscript"/>
        </w:rPr>
        <w:footnoteReference w:id="3"/>
      </w:r>
      <w:r w:rsidRPr="00837C2C">
        <w:t xml:space="preserve">, </w:t>
      </w:r>
      <w:proofErr w:type="gramStart"/>
      <w:r w:rsidRPr="00837C2C">
        <w:t>que</w:t>
      </w:r>
      <w:proofErr w:type="gramEnd"/>
      <w:r w:rsidRPr="00837C2C">
        <w:t xml:space="preserve"> os PSP devem comunicar ao Banco de Portugal uma avaliação exaustiva e atualizada dos riscos operacionais e de segurança relacionados com os serviços de pagamento por si prestados, bem como da adequação das medidas de mitigação e controlo dos riscos que foram implementadas em resposta a esses riscos. Esta comunicação anual visa recolher informação relevante sobre os riscos operacionais e de segurança dos serviços de pagamento, assegurando que as entidades visadas controlam estes riscos, bem como a sua exposição a incidentes operacionais e de segurança severos. 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spacing w:before="240"/>
        <w:ind w:firstLine="284"/>
      </w:pPr>
      <w:r w:rsidRPr="00837C2C">
        <w:t xml:space="preserve">O Banco de Portugal comunicou à </w:t>
      </w:r>
      <w:proofErr w:type="spellStart"/>
      <w:r w:rsidRPr="00837C2C">
        <w:t>EBA</w:t>
      </w:r>
      <w:proofErr w:type="spellEnd"/>
      <w:r w:rsidRPr="00837C2C">
        <w:t xml:space="preserve"> a sua intenção de cumprir com as referidas Orientações a partir de 30 de junho de 2020, e neste contexto publicou a Carta Circular n.º CC/2020/00000029, de 6 de maio, divulgando às instituições visadas a sua intenção e respetiva data de cumprimento com as Orientações.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spacing w:before="240"/>
        <w:ind w:firstLine="284"/>
      </w:pPr>
      <w:r w:rsidRPr="00837C2C">
        <w:tab/>
        <w:t>A presente Instrução tem como objeto implementar os requisitos constantes das Orientações, incluindo o dever de reporte da avaliação anual dos riscos operacionais e de segurança dos serviços de pagamento prestados.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spacing w:before="240"/>
        <w:ind w:firstLine="284"/>
      </w:pPr>
      <w:r w:rsidRPr="00837C2C">
        <w:t xml:space="preserve">Cabe notar que a Instrução se dirige exclusivamente </w:t>
      </w:r>
      <w:proofErr w:type="gramStart"/>
      <w:r w:rsidRPr="00837C2C">
        <w:t>aos PSP</w:t>
      </w:r>
      <w:proofErr w:type="gramEnd"/>
      <w:r w:rsidRPr="00837C2C">
        <w:t>, pelo que não se aplica às Empresas de Investimento, às sucursais em Portugal de instituições de crédito autorizadas noutros Estados-Membros da União Europeia (UE), às sucursais de instituições de moeda eletrónica com sede na UE e às sucursais de instituições de pagamento com sede na UE.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spacing w:before="240"/>
        <w:ind w:firstLine="284"/>
      </w:pPr>
      <w:r w:rsidRPr="00837C2C">
        <w:t xml:space="preserve">O Banco de Portugal sublinha a importância destas Orientações para o reforço da resiliência operacional do setor financeiro. 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spacing w:before="240"/>
        <w:ind w:firstLine="284"/>
      </w:pPr>
      <w:r w:rsidRPr="00837C2C">
        <w:t xml:space="preserve">Em primeiro lugar, as Orientações introduzem uma maior especificação das expetativas de supervisão do risco associados às </w:t>
      </w:r>
      <w:proofErr w:type="spellStart"/>
      <w:r w:rsidRPr="00837C2C">
        <w:t>TIC</w:t>
      </w:r>
      <w:proofErr w:type="spellEnd"/>
      <w:r w:rsidRPr="00837C2C">
        <w:t xml:space="preserve"> e à segurança e robustecem desse modo os atuais requisitos prudenciais, em particular no questionário de autoavaliação do risco </w:t>
      </w:r>
      <w:proofErr w:type="spellStart"/>
      <w:r w:rsidRPr="00837C2C">
        <w:t>TIC</w:t>
      </w:r>
      <w:proofErr w:type="spellEnd"/>
      <w:r w:rsidRPr="00837C2C">
        <w:t xml:space="preserve"> das instituições de crédito cujos resultados são tidos em conta no </w:t>
      </w:r>
      <w:proofErr w:type="spellStart"/>
      <w:r w:rsidRPr="00837C2C">
        <w:t>SREP</w:t>
      </w:r>
      <w:proofErr w:type="spellEnd"/>
      <w:r w:rsidRPr="00837C2C">
        <w:t xml:space="preserve">, designadamente na análise de riscos para o capital, na categoria de sistemas de informação e no contexto do risco operacional. 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spacing w:before="240"/>
        <w:ind w:firstLine="284"/>
      </w:pPr>
      <w:r w:rsidRPr="00837C2C">
        <w:t>Em segundo lugar,</w:t>
      </w:r>
      <w:r w:rsidRPr="00837C2C">
        <w:rPr>
          <w:lang w:eastAsia="pt-PT"/>
        </w:rPr>
        <w:t xml:space="preserve"> as Orientações d</w:t>
      </w:r>
      <w:r w:rsidRPr="00837C2C">
        <w:t xml:space="preserve">escrevem com maior clareza as responsabilidades da direção de topo e da segunda e terceira linha de defesa na gestão da estratégia </w:t>
      </w:r>
      <w:proofErr w:type="spellStart"/>
      <w:r w:rsidRPr="00837C2C">
        <w:t>TIC</w:t>
      </w:r>
      <w:proofErr w:type="spellEnd"/>
      <w:r w:rsidRPr="00837C2C">
        <w:t xml:space="preserve"> e modelo de governo. 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spacing w:before="240"/>
        <w:ind w:firstLine="284"/>
      </w:pPr>
      <w:r w:rsidRPr="00837C2C">
        <w:t>Em terceiro lugar,</w:t>
      </w:r>
      <w:r w:rsidRPr="00837C2C">
        <w:rPr>
          <w:lang w:eastAsia="pt-PT"/>
        </w:rPr>
        <w:t xml:space="preserve"> as Orientações f</w:t>
      </w:r>
      <w:r w:rsidRPr="00837C2C">
        <w:t xml:space="preserve">ortalecem a recente estratégia do Banco de Portugal para o reforço da resiliência operacional em matéria de </w:t>
      </w:r>
      <w:proofErr w:type="spellStart"/>
      <w:r w:rsidRPr="00837C2C">
        <w:t>cibersegurança</w:t>
      </w:r>
      <w:proofErr w:type="spellEnd"/>
      <w:r w:rsidRPr="00837C2C">
        <w:t>, complementando a Instrução n.º 1/2019</w:t>
      </w:r>
      <w:r w:rsidRPr="00837C2C">
        <w:rPr>
          <w:rFonts w:asciiTheme="minorHAnsi" w:hAnsiTheme="minorHAnsi" w:cstheme="minorHAnsi"/>
          <w:vertAlign w:val="superscript"/>
        </w:rPr>
        <w:footnoteReference w:id="4"/>
      </w:r>
      <w:r w:rsidRPr="00837C2C">
        <w:t xml:space="preserve"> e a Instrução n.º 21/2019</w:t>
      </w:r>
      <w:r w:rsidRPr="00837C2C">
        <w:rPr>
          <w:rFonts w:asciiTheme="minorHAnsi" w:hAnsiTheme="minorHAnsi" w:cstheme="minorHAnsi"/>
          <w:vertAlign w:val="superscript"/>
        </w:rPr>
        <w:footnoteReference w:id="5"/>
      </w:r>
      <w:r w:rsidRPr="00837C2C">
        <w:t xml:space="preserve">, que instituem deveres de reporte de incidentes operacionais e de segurança, e incidentes de </w:t>
      </w:r>
      <w:proofErr w:type="spellStart"/>
      <w:r w:rsidRPr="00837C2C">
        <w:t>cibersegurança</w:t>
      </w:r>
      <w:proofErr w:type="spellEnd"/>
      <w:r w:rsidRPr="00837C2C">
        <w:t xml:space="preserve">, em Portugal. 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spacing w:before="240"/>
        <w:ind w:firstLine="284"/>
      </w:pPr>
      <w:r w:rsidRPr="00837C2C">
        <w:lastRenderedPageBreak/>
        <w:t xml:space="preserve">Finalmente, as Orientações introduzem a possibilidade de as instituições realizarem testes de intrusão, com maior ou menor âmbito, intensidade e periodicidade, como forma de testar eventuais vulnerabilidades em sistemas e de aferir a eficácia e capacidade de resposta dos mecanismos de defesa. 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spacing w:before="240"/>
        <w:ind w:firstLine="284"/>
      </w:pPr>
      <w:r w:rsidRPr="00837C2C">
        <w:t>A presente Instrução foi objeto de consulta pública nos termos e para os efeitos previstos nos artigos 100.º, n.º 3, alínea c) e artigo 101.º, ambos do Código do Procedimento Administrativo.</w:t>
      </w:r>
    </w:p>
    <w:p w:rsidRPr="00837C2C" w:rsidR="00837C2C" w:rsidP="00837C2C" w:rsidRDefault="00837C2C">
      <w:pPr>
        <w:widowControl w:val="0"/>
        <w:tabs>
          <w:tab w:val="left" w:pos="426"/>
          <w:tab w:val="left" w:pos="2494"/>
          <w:tab w:val="left" w:pos="4648"/>
          <w:tab w:val="left" w:pos="6916"/>
        </w:tabs>
        <w:spacing w:before="240"/>
        <w:ind w:firstLine="284"/>
      </w:pPr>
      <w:r w:rsidRPr="00837C2C">
        <w:t xml:space="preserve">Neste contexto, o Banco de Portugal, no uso da competência que lhe é atribuída pelos artigos 14.º e 17.º da sua Lei Orgânica, aprovada pela Lei n.º 5/98, de 31 de janeiro, bem como pelos artigos 115.º-T e 116.º, al. f), do Regime Geral das Instituições de Crédito e Sociedades Financeiras e pelos artigos 70.º, n.º 3, 60.º, n.º 3 e 157.º, n.º 1 do </w:t>
      </w:r>
      <w:proofErr w:type="spellStart"/>
      <w:r w:rsidRPr="00837C2C">
        <w:t>RJSPME</w:t>
      </w:r>
      <w:proofErr w:type="spellEnd"/>
      <w:r w:rsidRPr="00837C2C">
        <w:t>, aprova a seguinte Instrução:</w:t>
      </w:r>
    </w:p>
    <w:p w:rsidRPr="00837C2C" w:rsidR="00837C2C" w:rsidP="001E7809" w:rsidRDefault="00837C2C">
      <w:pPr>
        <w:spacing w:before="240"/>
        <w:rPr>
          <w:rFonts w:cstheme="minorHAnsi"/>
        </w:rPr>
      </w:pPr>
    </w:p>
    <w:p w:rsidRPr="00837C2C" w:rsidR="00837C2C" w:rsidP="00837C2C" w:rsidRDefault="00837C2C">
      <w:pPr>
        <w:widowControl w:val="0"/>
        <w:tabs>
          <w:tab w:val="left" w:pos="850"/>
          <w:tab w:val="left" w:pos="2494"/>
          <w:tab w:val="left" w:pos="4648"/>
          <w:tab w:val="left" w:pos="6916"/>
        </w:tabs>
        <w:ind w:right="-1"/>
        <w:jc w:val="center"/>
        <w:outlineLvl w:val="0"/>
        <w:rPr>
          <w:rFonts w:eastAsia="Times New Roman" w:cs="Times New Roman" w:asciiTheme="minorHAnsi" w:hAnsiTheme="minorHAnsi"/>
          <w:b/>
          <w:szCs w:val="18"/>
          <w:lang w:eastAsia="pt-PT"/>
        </w:rPr>
      </w:pPr>
      <w:r w:rsidRPr="00837C2C">
        <w:rPr>
          <w:rFonts w:eastAsia="Times New Roman" w:cs="Times New Roman" w:asciiTheme="minorHAnsi" w:hAnsiTheme="minorHAnsi"/>
          <w:b/>
          <w:szCs w:val="18"/>
          <w:lang w:eastAsia="pt-PT"/>
        </w:rPr>
        <w:t>Artigo 1.º</w:t>
      </w:r>
      <w:r w:rsidRPr="00837C2C">
        <w:rPr>
          <w:rFonts w:eastAsia="Times New Roman" w:cs="Calibri" w:asciiTheme="minorHAnsi" w:hAnsiTheme="minorHAnsi"/>
          <w:b/>
          <w:color w:val="000000"/>
          <w:szCs w:val="18"/>
          <w:lang w:eastAsia="pt-PT"/>
        </w:rPr>
        <w:br/>
      </w:r>
      <w:r w:rsidRPr="00837C2C">
        <w:rPr>
          <w:rFonts w:eastAsia="Times New Roman" w:cs="Times New Roman" w:asciiTheme="minorHAnsi" w:hAnsiTheme="minorHAnsi"/>
          <w:b/>
          <w:szCs w:val="18"/>
          <w:lang w:eastAsia="pt-PT"/>
        </w:rPr>
        <w:t xml:space="preserve">Destinatários </w:t>
      </w:r>
    </w:p>
    <w:p w:rsidRPr="00837C2C" w:rsidR="00837C2C" w:rsidP="00837C2C" w:rsidRDefault="00837C2C">
      <w:pPr>
        <w:spacing w:before="120"/>
      </w:pPr>
      <w:r w:rsidRPr="00837C2C">
        <w:t xml:space="preserve">São destinatários da presente Instrução os prestadores de serviços de pagamento (doravante “PSP”), na aceção do artigo 11.º, n.º 1 do </w:t>
      </w:r>
      <w:proofErr w:type="spellStart"/>
      <w:r w:rsidRPr="00837C2C">
        <w:t>RJSPME</w:t>
      </w:r>
      <w:proofErr w:type="spellEnd"/>
      <w:r w:rsidRPr="00837C2C">
        <w:t xml:space="preserve">, com sede em Portugal, ainda que operando em outros países por intermédio do exercício do direito de estabelecimento ou da livre prestação de serviços. </w:t>
      </w:r>
    </w:p>
    <w:p w:rsidRPr="00837C2C" w:rsidR="00837C2C" w:rsidP="00837C2C" w:rsidRDefault="00837C2C">
      <w:pPr>
        <w:spacing w:before="240"/>
        <w:rPr>
          <w:rFonts w:cstheme="minorHAnsi"/>
        </w:rPr>
      </w:pPr>
    </w:p>
    <w:p w:rsidRPr="00837C2C" w:rsidR="00837C2C" w:rsidP="00837C2C" w:rsidRDefault="00837C2C">
      <w:pPr>
        <w:widowControl w:val="0"/>
        <w:tabs>
          <w:tab w:val="left" w:pos="850"/>
          <w:tab w:val="left" w:pos="2494"/>
          <w:tab w:val="left" w:pos="4648"/>
          <w:tab w:val="left" w:pos="6916"/>
        </w:tabs>
        <w:ind w:right="-1"/>
        <w:jc w:val="center"/>
        <w:outlineLvl w:val="0"/>
        <w:rPr>
          <w:rFonts w:eastAsia="Times New Roman" w:cs="Times New Roman" w:asciiTheme="minorHAnsi" w:hAnsiTheme="minorHAnsi"/>
          <w:b/>
          <w:szCs w:val="18"/>
          <w:lang w:eastAsia="pt-PT"/>
        </w:rPr>
      </w:pPr>
      <w:r w:rsidRPr="00837C2C">
        <w:rPr>
          <w:rFonts w:eastAsia="Times New Roman" w:cs="Times New Roman" w:asciiTheme="minorHAnsi" w:hAnsiTheme="minorHAnsi"/>
          <w:b/>
          <w:szCs w:val="18"/>
          <w:lang w:eastAsia="pt-PT"/>
        </w:rPr>
        <w:t>Artigo 2.º</w:t>
      </w:r>
      <w:r w:rsidRPr="00837C2C">
        <w:rPr>
          <w:rFonts w:eastAsia="Times New Roman" w:cs="Calibri" w:asciiTheme="minorHAnsi" w:hAnsiTheme="minorHAnsi"/>
          <w:b/>
          <w:color w:val="000000"/>
          <w:szCs w:val="18"/>
          <w:lang w:eastAsia="pt-PT"/>
        </w:rPr>
        <w:br/>
      </w:r>
      <w:r w:rsidRPr="00837C2C">
        <w:rPr>
          <w:rFonts w:eastAsia="Times New Roman" w:cs="Times New Roman" w:asciiTheme="minorHAnsi" w:hAnsiTheme="minorHAnsi"/>
          <w:b/>
          <w:szCs w:val="18"/>
          <w:lang w:eastAsia="pt-PT"/>
        </w:rPr>
        <w:t>Requisitos operacionais e de segurança</w:t>
      </w:r>
    </w:p>
    <w:p w:rsidRPr="00837C2C" w:rsidR="00837C2C" w:rsidP="00837C2C" w:rsidRDefault="00837C2C">
      <w:pPr>
        <w:spacing w:before="120" w:after="240"/>
      </w:pPr>
      <w:proofErr w:type="gramStart"/>
      <w:r w:rsidRPr="00837C2C">
        <w:rPr>
          <w:lang w:eastAsia="pt-PT"/>
        </w:rPr>
        <w:t>Os PSP</w:t>
      </w:r>
      <w:proofErr w:type="gramEnd"/>
      <w:r w:rsidRPr="00837C2C">
        <w:rPr>
          <w:lang w:eastAsia="pt-PT"/>
        </w:rPr>
        <w:t xml:space="preserve"> observam os requisitos previstos nas </w:t>
      </w:r>
      <w:r w:rsidRPr="00837C2C">
        <w:t xml:space="preserve">Orientações relativas à gestão dos riscos associados às </w:t>
      </w:r>
      <w:proofErr w:type="spellStart"/>
      <w:r w:rsidRPr="00837C2C">
        <w:t>TIC</w:t>
      </w:r>
      <w:proofErr w:type="spellEnd"/>
      <w:r w:rsidRPr="00837C2C">
        <w:t xml:space="preserve"> e à segurança</w:t>
      </w:r>
      <w:r w:rsidRPr="00837C2C" w:rsidDel="0002543D">
        <w:rPr>
          <w:lang w:eastAsia="pt-PT"/>
        </w:rPr>
        <w:t xml:space="preserve"> </w:t>
      </w:r>
      <w:r w:rsidRPr="00837C2C">
        <w:rPr>
          <w:lang w:eastAsia="pt-PT"/>
        </w:rPr>
        <w:t>da Autoridade Bancária Europeia (</w:t>
      </w:r>
      <w:proofErr w:type="spellStart"/>
      <w:r w:rsidRPr="00837C2C">
        <w:rPr>
          <w:lang w:eastAsia="pt-PT"/>
        </w:rPr>
        <w:t>EBA</w:t>
      </w:r>
      <w:proofErr w:type="spellEnd"/>
      <w:r w:rsidRPr="00837C2C">
        <w:rPr>
          <w:lang w:eastAsia="pt-PT"/>
        </w:rPr>
        <w:t>/</w:t>
      </w:r>
      <w:proofErr w:type="spellStart"/>
      <w:r w:rsidRPr="00837C2C">
        <w:rPr>
          <w:lang w:eastAsia="pt-PT"/>
        </w:rPr>
        <w:t>GL</w:t>
      </w:r>
      <w:proofErr w:type="spellEnd"/>
      <w:r w:rsidRPr="00837C2C">
        <w:rPr>
          <w:lang w:eastAsia="pt-PT"/>
        </w:rPr>
        <w:t>/2019/04), na gestão dos riscos operacionais e de segurança relacionados com os serviços de pagamento por si prestados.</w:t>
      </w:r>
    </w:p>
    <w:p w:rsidRPr="00837C2C" w:rsidR="00837C2C" w:rsidP="00837C2C" w:rsidRDefault="00837C2C">
      <w:pPr>
        <w:spacing w:before="240"/>
        <w:rPr>
          <w:rFonts w:cstheme="minorHAnsi"/>
        </w:rPr>
      </w:pPr>
    </w:p>
    <w:p w:rsidRPr="00837C2C" w:rsidR="00837C2C" w:rsidP="00837C2C" w:rsidRDefault="00837C2C">
      <w:pPr>
        <w:widowControl w:val="0"/>
        <w:tabs>
          <w:tab w:val="left" w:pos="850"/>
          <w:tab w:val="left" w:pos="2494"/>
          <w:tab w:val="left" w:pos="4648"/>
          <w:tab w:val="left" w:pos="6916"/>
        </w:tabs>
        <w:ind w:right="-1"/>
        <w:jc w:val="center"/>
        <w:outlineLvl w:val="0"/>
        <w:rPr>
          <w:rFonts w:eastAsia="Times New Roman" w:cs="Times New Roman" w:asciiTheme="minorHAnsi" w:hAnsiTheme="minorHAnsi"/>
          <w:b/>
          <w:szCs w:val="18"/>
          <w:lang w:eastAsia="pt-PT"/>
        </w:rPr>
      </w:pPr>
      <w:r w:rsidRPr="00837C2C">
        <w:rPr>
          <w:rFonts w:eastAsia="Times New Roman" w:cs="Times New Roman" w:asciiTheme="minorHAnsi" w:hAnsiTheme="minorHAnsi"/>
          <w:b/>
          <w:szCs w:val="18"/>
          <w:lang w:eastAsia="pt-PT"/>
        </w:rPr>
        <w:t>Artigo 3.º</w:t>
      </w:r>
      <w:r w:rsidRPr="00837C2C">
        <w:rPr>
          <w:rFonts w:eastAsia="Times New Roman" w:cs="Calibri" w:asciiTheme="minorHAnsi" w:hAnsiTheme="minorHAnsi"/>
          <w:b/>
          <w:color w:val="000000"/>
          <w:szCs w:val="18"/>
          <w:lang w:eastAsia="pt-PT"/>
        </w:rPr>
        <w:br/>
      </w:r>
      <w:r w:rsidRPr="00837C2C">
        <w:rPr>
          <w:rFonts w:eastAsia="Times New Roman" w:cs="Times New Roman" w:asciiTheme="minorHAnsi" w:hAnsiTheme="minorHAnsi"/>
          <w:b/>
          <w:szCs w:val="18"/>
          <w:lang w:eastAsia="pt-PT"/>
        </w:rPr>
        <w:t>Relatório anual de avaliação dos riscos operacionais e de segurança</w:t>
      </w:r>
    </w:p>
    <w:p w:rsidRPr="00837C2C" w:rsidR="00837C2C" w:rsidP="00837C2C" w:rsidRDefault="00837C2C">
      <w:pPr>
        <w:widowControl w:val="0"/>
        <w:tabs>
          <w:tab w:val="left" w:pos="850"/>
          <w:tab w:val="left" w:pos="2494"/>
          <w:tab w:val="left" w:pos="4648"/>
          <w:tab w:val="left" w:pos="6916"/>
        </w:tabs>
        <w:spacing w:before="120" w:after="120"/>
        <w:rPr>
          <w:rFonts w:eastAsia="Times New Roman" w:cs="Times New Roman" w:asciiTheme="minorHAnsi" w:hAnsiTheme="minorHAnsi"/>
          <w:szCs w:val="18"/>
          <w:lang w:eastAsia="pt-PT"/>
        </w:rPr>
      </w:pPr>
      <w:r w:rsidRPr="00837C2C">
        <w:rPr>
          <w:rFonts w:eastAsia="Times New Roman" w:cs="Times New Roman" w:asciiTheme="minorHAnsi" w:hAnsiTheme="minorHAnsi"/>
          <w:szCs w:val="18"/>
          <w:lang w:eastAsia="pt-PT"/>
        </w:rPr>
        <w:t xml:space="preserve">1 – </w:t>
      </w:r>
      <w:proofErr w:type="gramStart"/>
      <w:r w:rsidRPr="00837C2C">
        <w:rPr>
          <w:rFonts w:eastAsia="Times New Roman" w:cs="Times New Roman" w:asciiTheme="minorHAnsi" w:hAnsiTheme="minorHAnsi"/>
          <w:szCs w:val="18"/>
          <w:lang w:eastAsia="pt-PT"/>
        </w:rPr>
        <w:t>Os PSP</w:t>
      </w:r>
      <w:proofErr w:type="gramEnd"/>
      <w:r w:rsidRPr="00837C2C">
        <w:rPr>
          <w:rFonts w:eastAsia="Times New Roman" w:cs="Times New Roman" w:asciiTheme="minorHAnsi" w:hAnsiTheme="minorHAnsi"/>
          <w:szCs w:val="18"/>
          <w:lang w:eastAsia="pt-PT"/>
        </w:rPr>
        <w:t xml:space="preserve"> elaboram, com referência a 30 de junho de cada ano, um relatório anual de avaliação dos riscos operacionais e de segurança dos serviços de pagamento prestados, de acordo com o modelo anexo à presente Instrução.</w:t>
      </w:r>
    </w:p>
    <w:p w:rsidRPr="00837C2C" w:rsidR="00837C2C" w:rsidP="00837C2C" w:rsidRDefault="00837C2C">
      <w:pPr>
        <w:widowControl w:val="0"/>
        <w:tabs>
          <w:tab w:val="left" w:pos="850"/>
          <w:tab w:val="left" w:pos="2494"/>
          <w:tab w:val="left" w:pos="4648"/>
          <w:tab w:val="left" w:pos="6916"/>
        </w:tabs>
        <w:spacing w:before="120" w:after="120"/>
        <w:rPr>
          <w:rFonts w:eastAsia="Times New Roman" w:cs="Times New Roman" w:asciiTheme="minorHAnsi" w:hAnsiTheme="minorHAnsi"/>
          <w:szCs w:val="18"/>
          <w:lang w:eastAsia="pt-PT"/>
        </w:rPr>
      </w:pPr>
      <w:r w:rsidRPr="00837C2C">
        <w:rPr>
          <w:rFonts w:eastAsia="Times New Roman" w:cs="Times New Roman" w:asciiTheme="minorHAnsi" w:hAnsiTheme="minorHAnsi"/>
          <w:szCs w:val="18"/>
          <w:lang w:eastAsia="pt-PT"/>
        </w:rPr>
        <w:t xml:space="preserve">2 – O relatório referido no número anterior é reportado ao Banco de Portugal até 31 de julho do mesmo ano. </w:t>
      </w:r>
    </w:p>
    <w:p w:rsidRPr="00837C2C" w:rsidR="00837C2C" w:rsidP="00837C2C" w:rsidRDefault="00837C2C">
      <w:pPr>
        <w:widowControl w:val="0"/>
        <w:tabs>
          <w:tab w:val="left" w:pos="850"/>
          <w:tab w:val="left" w:pos="2494"/>
          <w:tab w:val="left" w:pos="4648"/>
          <w:tab w:val="left" w:pos="6916"/>
        </w:tabs>
        <w:spacing w:before="120" w:after="120"/>
        <w:rPr>
          <w:rFonts w:eastAsia="Times New Roman" w:cs="Times New Roman" w:asciiTheme="minorHAnsi" w:hAnsiTheme="minorHAnsi"/>
          <w:szCs w:val="18"/>
          <w:lang w:eastAsia="pt-PT"/>
        </w:rPr>
      </w:pPr>
      <w:r w:rsidRPr="00837C2C">
        <w:rPr>
          <w:rFonts w:eastAsia="Times New Roman" w:cs="Times New Roman" w:asciiTheme="minorHAnsi" w:hAnsiTheme="minorHAnsi"/>
          <w:szCs w:val="18"/>
          <w:lang w:eastAsia="pt-PT"/>
        </w:rPr>
        <w:t xml:space="preserve">3 – O relatório anual de avaliação dos riscos visa recolher informação relevante sobre os riscos operacionais e de segurança dos serviços de pagamento, assegurando que </w:t>
      </w:r>
      <w:proofErr w:type="gramStart"/>
      <w:r w:rsidRPr="00837C2C">
        <w:rPr>
          <w:rFonts w:eastAsia="Times New Roman" w:cs="Times New Roman" w:asciiTheme="minorHAnsi" w:hAnsiTheme="minorHAnsi"/>
          <w:szCs w:val="18"/>
          <w:lang w:eastAsia="pt-PT"/>
        </w:rPr>
        <w:t>os PSP</w:t>
      </w:r>
      <w:proofErr w:type="gramEnd"/>
      <w:r w:rsidRPr="00837C2C">
        <w:rPr>
          <w:rFonts w:eastAsia="Times New Roman" w:cs="Times New Roman" w:asciiTheme="minorHAnsi" w:hAnsiTheme="minorHAnsi"/>
          <w:szCs w:val="18"/>
          <w:lang w:eastAsia="pt-PT"/>
        </w:rPr>
        <w:t xml:space="preserve"> controlam estes riscos e não estão expostos a um elevado número de incidentes operacionais e de segurança severos, bem como incidentes de </w:t>
      </w:r>
      <w:proofErr w:type="spellStart"/>
      <w:r w:rsidRPr="00837C2C">
        <w:rPr>
          <w:rFonts w:eastAsia="Times New Roman" w:cs="Times New Roman" w:asciiTheme="minorHAnsi" w:hAnsiTheme="minorHAnsi"/>
          <w:szCs w:val="18"/>
          <w:lang w:eastAsia="pt-PT"/>
        </w:rPr>
        <w:t>cibersegurança</w:t>
      </w:r>
      <w:proofErr w:type="spellEnd"/>
      <w:r w:rsidRPr="00837C2C">
        <w:rPr>
          <w:rFonts w:eastAsia="Times New Roman" w:cs="Times New Roman" w:asciiTheme="minorHAnsi" w:hAnsiTheme="minorHAnsi"/>
          <w:szCs w:val="18"/>
          <w:lang w:eastAsia="pt-PT"/>
        </w:rPr>
        <w:t xml:space="preserve"> significativos ou severos.</w:t>
      </w:r>
    </w:p>
    <w:p w:rsidRPr="00837C2C" w:rsidR="00837C2C" w:rsidP="00837C2C" w:rsidRDefault="00837C2C">
      <w:pPr>
        <w:widowControl w:val="0"/>
        <w:tabs>
          <w:tab w:val="left" w:pos="850"/>
          <w:tab w:val="left" w:pos="2494"/>
          <w:tab w:val="left" w:pos="4648"/>
          <w:tab w:val="left" w:pos="6916"/>
        </w:tabs>
        <w:spacing w:before="120" w:after="120"/>
        <w:rPr>
          <w:rFonts w:eastAsia="Times New Roman" w:cs="Times New Roman" w:asciiTheme="minorHAnsi" w:hAnsiTheme="minorHAnsi"/>
          <w:szCs w:val="18"/>
          <w:lang w:eastAsia="pt-PT"/>
        </w:rPr>
      </w:pPr>
      <w:r w:rsidRPr="00837C2C">
        <w:rPr>
          <w:rFonts w:eastAsia="Times New Roman" w:cs="Times New Roman" w:asciiTheme="minorHAnsi" w:hAnsiTheme="minorHAnsi"/>
          <w:szCs w:val="18"/>
          <w:lang w:eastAsia="pt-PT"/>
        </w:rPr>
        <w:t xml:space="preserve">4 – Mediante autorização prévia solicitada ao Banco de Portugal, os destinatários da presente Instrução poderão delegar o reporte da informação noutra entidade do mesmo grupo, sem prejuízo de permanecerem responsáveis pela correção e atualização da informação reportada. </w:t>
      </w:r>
    </w:p>
    <w:p w:rsidRPr="00837C2C" w:rsidR="00837C2C" w:rsidP="00837C2C" w:rsidRDefault="00837C2C">
      <w:pPr>
        <w:widowControl w:val="0"/>
        <w:tabs>
          <w:tab w:val="left" w:pos="850"/>
          <w:tab w:val="left" w:pos="2494"/>
          <w:tab w:val="left" w:pos="4648"/>
          <w:tab w:val="left" w:pos="6916"/>
        </w:tabs>
        <w:spacing w:before="120" w:after="120"/>
        <w:rPr>
          <w:rFonts w:eastAsia="Times New Roman" w:cs="Times New Roman" w:asciiTheme="minorHAnsi" w:hAnsiTheme="minorHAnsi"/>
          <w:szCs w:val="18"/>
          <w:lang w:eastAsia="pt-PT"/>
        </w:rPr>
      </w:pPr>
      <w:r w:rsidRPr="00837C2C">
        <w:rPr>
          <w:rFonts w:eastAsia="Times New Roman" w:cs="Times New Roman" w:asciiTheme="minorHAnsi" w:hAnsiTheme="minorHAnsi"/>
          <w:szCs w:val="18"/>
          <w:lang w:eastAsia="pt-PT"/>
        </w:rPr>
        <w:lastRenderedPageBreak/>
        <w:t xml:space="preserve">5 – </w:t>
      </w:r>
      <w:proofErr w:type="gramStart"/>
      <w:r w:rsidRPr="00837C2C">
        <w:rPr>
          <w:rFonts w:eastAsia="Times New Roman" w:cs="Times New Roman" w:asciiTheme="minorHAnsi" w:hAnsiTheme="minorHAnsi"/>
          <w:szCs w:val="18"/>
          <w:lang w:eastAsia="pt-PT"/>
        </w:rPr>
        <w:t>Os PSP</w:t>
      </w:r>
      <w:proofErr w:type="gramEnd"/>
      <w:r w:rsidRPr="00837C2C">
        <w:rPr>
          <w:rFonts w:eastAsia="Times New Roman" w:cs="Times New Roman" w:asciiTheme="minorHAnsi" w:hAnsiTheme="minorHAnsi"/>
          <w:szCs w:val="18"/>
          <w:lang w:eastAsia="pt-PT"/>
        </w:rPr>
        <w:t xml:space="preserve"> devem preencher o modelo de relatório que consta em “Reportes </w:t>
      </w:r>
      <w:proofErr w:type="spellStart"/>
      <w:r w:rsidRPr="00837C2C">
        <w:rPr>
          <w:rFonts w:eastAsia="Times New Roman" w:cs="Times New Roman" w:asciiTheme="minorHAnsi" w:hAnsiTheme="minorHAnsi"/>
          <w:szCs w:val="18"/>
          <w:lang w:eastAsia="pt-PT"/>
        </w:rPr>
        <w:t>Ad-hoc</w:t>
      </w:r>
      <w:proofErr w:type="spellEnd"/>
      <w:r w:rsidRPr="00837C2C">
        <w:rPr>
          <w:rFonts w:eastAsia="Times New Roman" w:cs="Times New Roman" w:asciiTheme="minorHAnsi" w:hAnsiTheme="minorHAnsi"/>
          <w:szCs w:val="18"/>
          <w:lang w:eastAsia="pt-PT"/>
        </w:rPr>
        <w:t xml:space="preserve"> via correspondência” na Área Temática de “Supervisão Prudencial” do Portal BPnet (www.bportugal.net), cumprindo as instruções aí constantes e submetê-lo através desse portal.</w:t>
      </w:r>
    </w:p>
    <w:p w:rsidRPr="00837C2C" w:rsidR="00837C2C" w:rsidP="00837C2C" w:rsidRDefault="00837C2C">
      <w:pPr>
        <w:overflowPunct w:val="0"/>
        <w:autoSpaceDE w:val="0"/>
        <w:autoSpaceDN w:val="0"/>
        <w:adjustRightInd w:val="0"/>
        <w:spacing w:before="240"/>
        <w:textAlignment w:val="baseline"/>
        <w:rPr>
          <w:lang w:eastAsia="pt-PT"/>
        </w:rPr>
      </w:pPr>
    </w:p>
    <w:p w:rsidRPr="00837C2C" w:rsidR="00837C2C" w:rsidP="00837C2C" w:rsidRDefault="00837C2C">
      <w:pPr>
        <w:widowControl w:val="0"/>
        <w:tabs>
          <w:tab w:val="left" w:pos="850"/>
          <w:tab w:val="left" w:pos="2494"/>
          <w:tab w:val="left" w:pos="4648"/>
          <w:tab w:val="left" w:pos="6916"/>
        </w:tabs>
        <w:ind w:right="-1"/>
        <w:jc w:val="center"/>
        <w:outlineLvl w:val="0"/>
        <w:rPr>
          <w:rFonts w:eastAsia="Times New Roman" w:cs="Times New Roman" w:asciiTheme="minorHAnsi" w:hAnsiTheme="minorHAnsi"/>
          <w:b/>
          <w:szCs w:val="18"/>
          <w:lang w:eastAsia="pt-PT"/>
        </w:rPr>
      </w:pPr>
      <w:r w:rsidRPr="00837C2C">
        <w:rPr>
          <w:rFonts w:eastAsia="Times New Roman" w:cs="Times New Roman" w:asciiTheme="minorHAnsi" w:hAnsiTheme="minorHAnsi"/>
          <w:b/>
          <w:szCs w:val="18"/>
          <w:lang w:eastAsia="pt-PT"/>
        </w:rPr>
        <w:t>Artigo 4.º</w:t>
      </w:r>
      <w:r w:rsidRPr="00837C2C">
        <w:rPr>
          <w:rFonts w:eastAsia="Times New Roman" w:cs="Calibri" w:asciiTheme="minorHAnsi" w:hAnsiTheme="minorHAnsi"/>
          <w:b/>
          <w:color w:val="000000"/>
          <w:szCs w:val="18"/>
          <w:lang w:eastAsia="pt-PT"/>
        </w:rPr>
        <w:br/>
      </w:r>
      <w:r w:rsidRPr="00837C2C">
        <w:rPr>
          <w:rFonts w:eastAsia="Times New Roman" w:cs="Times New Roman" w:asciiTheme="minorHAnsi" w:hAnsiTheme="minorHAnsi"/>
          <w:b/>
          <w:szCs w:val="18"/>
          <w:lang w:eastAsia="pt-PT"/>
        </w:rPr>
        <w:t>Entrada em vigor e disposição final</w:t>
      </w:r>
    </w:p>
    <w:p w:rsidRPr="00837C2C" w:rsidR="00837C2C" w:rsidP="001E7809" w:rsidRDefault="00837C2C">
      <w:pPr>
        <w:widowControl w:val="0"/>
        <w:tabs>
          <w:tab w:val="left" w:pos="850"/>
          <w:tab w:val="left" w:pos="2494"/>
          <w:tab w:val="left" w:pos="4648"/>
          <w:tab w:val="left" w:pos="6916"/>
        </w:tabs>
        <w:spacing w:before="120" w:after="120"/>
        <w:rPr>
          <w:rFonts w:eastAsia="Times New Roman" w:cs="Times New Roman" w:asciiTheme="minorHAnsi" w:hAnsiTheme="minorHAnsi"/>
          <w:szCs w:val="18"/>
          <w:lang w:eastAsia="pt-PT"/>
        </w:rPr>
      </w:pPr>
      <w:r w:rsidRPr="00837C2C">
        <w:rPr>
          <w:rFonts w:eastAsia="Times New Roman" w:cs="Times New Roman" w:asciiTheme="minorHAnsi" w:hAnsiTheme="minorHAnsi"/>
          <w:szCs w:val="18"/>
          <w:lang w:eastAsia="pt-PT"/>
        </w:rPr>
        <w:t>1 – A presente Instrução entra em vigor no dia seguinte ao da sua publicação.</w:t>
      </w:r>
    </w:p>
    <w:p w:rsidRPr="001E7809" w:rsidR="00837C2C" w:rsidP="001E7809" w:rsidRDefault="00837C2C">
      <w:pPr>
        <w:widowControl w:val="0"/>
        <w:tabs>
          <w:tab w:val="left" w:pos="850"/>
          <w:tab w:val="left" w:pos="2494"/>
          <w:tab w:val="left" w:pos="4648"/>
          <w:tab w:val="left" w:pos="6916"/>
        </w:tabs>
        <w:spacing w:before="120" w:after="120"/>
        <w:rPr>
          <w:rStyle w:val="TextoChar"/>
          <w:rFonts w:asciiTheme="minorHAnsi" w:hAnsiTheme="minorHAnsi" w:eastAsiaTheme="minorHAnsi"/>
        </w:rPr>
      </w:pPr>
      <w:r w:rsidRPr="00837C2C">
        <w:rPr>
          <w:rFonts w:eastAsia="Times New Roman" w:cs="Times New Roman" w:asciiTheme="minorHAnsi" w:hAnsiTheme="minorHAnsi"/>
          <w:szCs w:val="18"/>
          <w:lang w:eastAsia="pt-PT"/>
        </w:rPr>
        <w:t>2 – O primeiro relatório anual de avaliação dos riscos operacionais e de segurança, referente a 30 de junho de 2021, deverá ser remetido ao Banco de Portugal até 31 de julho de 2021.</w:t>
      </w:r>
    </w:p>
    <w:p w:rsidR="00E73F25" w:rsidP="00E73F25" w:rsidRDefault="00E73F25">
      <w:pPr>
        <w:spacing w:after="200"/>
        <w:jc w:val="left"/>
        <w:rPr>
          <w:rStyle w:val="TextoChar"/>
          <w:rFonts w:eastAsiaTheme="minorHAnsi"/>
        </w:rPr>
      </w:pPr>
    </w:p>
    <w:p w:rsidR="00BA2812" w:rsidP="00E73F25" w:rsidRDefault="00BA2812">
      <w:pPr>
        <w:spacing w:after="200"/>
        <w:jc w:val="left"/>
        <w:rPr>
          <w:rStyle w:val="TextoChar"/>
          <w:rFonts w:eastAsiaTheme="minorHAnsi"/>
        </w:rPr>
      </w:pPr>
    </w:p>
    <w:sectPr w:rsidR="00BA2812" w:rsidSect="00B45CC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992" w:bottom="1418" w:left="1843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C9" w:rsidRDefault="004271C9" w:rsidP="000435FF">
      <w:pPr>
        <w:spacing w:line="240" w:lineRule="auto"/>
      </w:pPr>
      <w:r>
        <w:separator/>
      </w:r>
    </w:p>
    <w:p w:rsidR="004271C9" w:rsidRDefault="004271C9"/>
  </w:endnote>
  <w:endnote w:type="continuationSeparator" w:id="0">
    <w:p w:rsidR="004271C9" w:rsidRDefault="004271C9" w:rsidP="000435FF">
      <w:pPr>
        <w:spacing w:line="240" w:lineRule="auto"/>
      </w:pPr>
      <w:r>
        <w:continuationSeparator/>
      </w:r>
    </w:p>
    <w:p w:rsidR="004271C9" w:rsidRDefault="00427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7" w:rsidRDefault="000D601B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page">
                <wp:posOffset>160020</wp:posOffset>
              </wp:positionH>
              <wp:positionV relativeFrom="page">
                <wp:posOffset>8934450</wp:posOffset>
              </wp:positionV>
              <wp:extent cx="284480" cy="1071245"/>
              <wp:effectExtent l="0" t="0" r="3175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071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517" w:rsidRPr="00547ADE" w:rsidRDefault="00116517" w:rsidP="00116517">
                          <w:pPr>
                            <w:spacing w:line="240" w:lineRule="auto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proofErr w:type="spellStart"/>
                          <w:r w:rsidRPr="00547ADE">
                            <w:rPr>
                              <w:sz w:val="10"/>
                              <w:szCs w:val="10"/>
                            </w:rPr>
                            <w:t>Mod</w:t>
                          </w:r>
                          <w:proofErr w:type="spellEnd"/>
                          <w:r w:rsidRPr="00547ADE">
                            <w:rPr>
                              <w:sz w:val="10"/>
                              <w:szCs w:val="10"/>
                            </w:rPr>
                            <w:t xml:space="preserve">. </w:t>
                          </w:r>
                          <w:r>
                            <w:rPr>
                              <w:sz w:val="10"/>
                              <w:szCs w:val="10"/>
                            </w:rPr>
                            <w:t>99999940</w:t>
                          </w:r>
                          <w:r w:rsidRPr="00547ADE">
                            <w:rPr>
                              <w:sz w:val="10"/>
                              <w:szCs w:val="10"/>
                            </w:rPr>
                            <w:t>/T – 01/14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12.6pt;margin-top:703.5pt;width:22.4pt;height:84.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" filled="f" stroked="f">
              <v:textbox style="layout-flow:vertical;mso-layout-flow-alt:bottom-to-top">
                <w:txbxContent>
                  <w:p w:rsidR="00116517" w:rsidRPr="00547ADE" w:rsidRDefault="00116517" w:rsidP="00116517">
                    <w:pPr>
                      <w:spacing w:line="240" w:lineRule="auto"/>
                      <w:rPr>
                        <w:sz w:val="10"/>
                        <w:szCs w:val="10"/>
                        <w:lang w:val="en-US"/>
                      </w:rPr>
                    </w:pPr>
                    <w:proofErr w:type="spellStart"/>
                    <w:r w:rsidRPr="00547ADE">
                      <w:rPr>
                        <w:sz w:val="10"/>
                        <w:szCs w:val="10"/>
                      </w:rPr>
                      <w:t>Mod</w:t>
                    </w:r>
                    <w:proofErr w:type="spellEnd"/>
                    <w:r w:rsidRPr="00547ADE">
                      <w:rPr>
                        <w:sz w:val="10"/>
                        <w:szCs w:val="10"/>
                      </w:rPr>
                      <w:t xml:space="preserve">. </w:t>
                    </w:r>
                    <w:r>
                      <w:rPr>
                        <w:sz w:val="10"/>
                        <w:szCs w:val="10"/>
                      </w:rPr>
                      <w:t>99999940</w:t>
                    </w:r>
                    <w:r w:rsidRPr="00547ADE">
                      <w:rPr>
                        <w:sz w:val="10"/>
                        <w:szCs w:val="10"/>
                      </w:rPr>
                      <w:t>/T – 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33" w:rsidRDefault="000D601B" w:rsidP="002D7E47">
    <w:pPr>
      <w:pStyle w:val="Rodap"/>
      <w:tabs>
        <w:tab w:val="clear" w:pos="4252"/>
        <w:tab w:val="clear" w:pos="8504"/>
        <w:tab w:val="left" w:pos="5988"/>
      </w:tabs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page">
                <wp:posOffset>175260</wp:posOffset>
              </wp:positionH>
              <wp:positionV relativeFrom="page">
                <wp:posOffset>8926830</wp:posOffset>
              </wp:positionV>
              <wp:extent cx="284480" cy="1071245"/>
              <wp:effectExtent l="3810" t="1905" r="0" b="3175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071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4E7" w:rsidRPr="00547ADE" w:rsidRDefault="001174E7" w:rsidP="001174E7">
                          <w:pPr>
                            <w:spacing w:line="240" w:lineRule="auto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proofErr w:type="spellStart"/>
                          <w:r w:rsidRPr="00547ADE">
                            <w:rPr>
                              <w:sz w:val="10"/>
                              <w:szCs w:val="10"/>
                            </w:rPr>
                            <w:t>Mod</w:t>
                          </w:r>
                          <w:proofErr w:type="spellEnd"/>
                          <w:r w:rsidRPr="00547ADE">
                            <w:rPr>
                              <w:sz w:val="10"/>
                              <w:szCs w:val="10"/>
                            </w:rPr>
                            <w:t xml:space="preserve">. </w:t>
                          </w:r>
                          <w:r>
                            <w:rPr>
                              <w:sz w:val="10"/>
                              <w:szCs w:val="10"/>
                            </w:rPr>
                            <w:t>99999940</w:t>
                          </w:r>
                          <w:r w:rsidRPr="00547ADE">
                            <w:rPr>
                              <w:sz w:val="10"/>
                              <w:szCs w:val="10"/>
                            </w:rPr>
                            <w:t>/T – 01/14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left:0;text-align:left;margin-left:13.8pt;margin-top:702.9pt;width:22.4pt;height:84.3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iltwIAAMQ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" filled="f" stroked="f">
              <v:textbox style="layout-flow:vertical;mso-layout-flow-alt:bottom-to-top">
                <w:txbxContent>
                  <w:p w:rsidR="001174E7" w:rsidRPr="00547ADE" w:rsidRDefault="001174E7" w:rsidP="001174E7">
                    <w:pPr>
                      <w:spacing w:line="240" w:lineRule="auto"/>
                      <w:rPr>
                        <w:sz w:val="10"/>
                        <w:szCs w:val="10"/>
                        <w:lang w:val="en-US"/>
                      </w:rPr>
                    </w:pPr>
                    <w:proofErr w:type="spellStart"/>
                    <w:r w:rsidRPr="00547ADE">
                      <w:rPr>
                        <w:sz w:val="10"/>
                        <w:szCs w:val="10"/>
                      </w:rPr>
                      <w:t>Mod</w:t>
                    </w:r>
                    <w:proofErr w:type="spellEnd"/>
                    <w:r w:rsidRPr="00547ADE">
                      <w:rPr>
                        <w:sz w:val="10"/>
                        <w:szCs w:val="10"/>
                      </w:rPr>
                      <w:t xml:space="preserve">. </w:t>
                    </w:r>
                    <w:r>
                      <w:rPr>
                        <w:sz w:val="10"/>
                        <w:szCs w:val="10"/>
                      </w:rPr>
                      <w:t>99999940</w:t>
                    </w:r>
                    <w:r w:rsidRPr="00547ADE">
                      <w:rPr>
                        <w:sz w:val="10"/>
                        <w:szCs w:val="10"/>
                      </w:rPr>
                      <w:t>/T – 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C9" w:rsidRDefault="004271C9" w:rsidP="000435FF">
      <w:pPr>
        <w:spacing w:line="240" w:lineRule="auto"/>
      </w:pPr>
      <w:r>
        <w:separator/>
      </w:r>
    </w:p>
    <w:p w:rsidR="004271C9" w:rsidRDefault="004271C9"/>
  </w:footnote>
  <w:footnote w:type="continuationSeparator" w:id="0">
    <w:p w:rsidR="004271C9" w:rsidRDefault="004271C9" w:rsidP="000435FF">
      <w:pPr>
        <w:spacing w:line="240" w:lineRule="auto"/>
      </w:pPr>
      <w:r>
        <w:continuationSeparator/>
      </w:r>
    </w:p>
    <w:p w:rsidR="004271C9" w:rsidRDefault="004271C9"/>
  </w:footnote>
  <w:footnote w:id="1">
    <w:p w:rsidR="00837C2C" w:rsidRDefault="00837C2C" w:rsidP="00837C2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2A619D">
          <w:rPr>
            <w:rStyle w:val="Hiperligao"/>
          </w:rPr>
          <w:t>https://www.bportugal.pt/cartacircular/cc201900000065</w:t>
        </w:r>
      </w:hyperlink>
      <w:r>
        <w:rPr>
          <w:rStyle w:val="Hiperligao"/>
        </w:rPr>
        <w:t>.</w:t>
      </w:r>
    </w:p>
  </w:footnote>
  <w:footnote w:id="2">
    <w:p w:rsidR="00837C2C" w:rsidRDefault="00837C2C" w:rsidP="00837C2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history="1">
        <w:r w:rsidRPr="003F32F0">
          <w:rPr>
            <w:rStyle w:val="Hiperligao"/>
            <w:rFonts w:asciiTheme="minorHAnsi" w:hAnsiTheme="minorHAnsi" w:cstheme="minorHAnsi"/>
          </w:rPr>
          <w:t>https://eba.europa.eu/eba-publishes-guidelines-ict-and-security-risk-management</w:t>
        </w:r>
      </w:hyperlink>
      <w:r>
        <w:rPr>
          <w:rStyle w:val="Hiperligao"/>
          <w:rFonts w:asciiTheme="minorHAnsi" w:hAnsiTheme="minorHAnsi" w:cstheme="minorHAnsi"/>
        </w:rPr>
        <w:t>.</w:t>
      </w:r>
    </w:p>
  </w:footnote>
  <w:footnote w:id="3">
    <w:p w:rsidR="00837C2C" w:rsidRDefault="00837C2C" w:rsidP="00837C2C">
      <w:pPr>
        <w:pStyle w:val="Textodenotaderodap"/>
      </w:pPr>
      <w:r>
        <w:rPr>
          <w:rStyle w:val="Refdenotaderodap"/>
        </w:rPr>
        <w:footnoteRef/>
      </w:r>
      <w:r w:rsidRPr="005E299F">
        <w:t xml:space="preserve"> </w:t>
      </w:r>
      <w:r>
        <w:t>T</w:t>
      </w:r>
      <w:r w:rsidRPr="003717EF">
        <w:t>ransposto para o ordenamento jurídico português pelo n.º 3 do artigo 70.º do Regime Jurídico dos Serviços de Pagamento e da Moeda Eletrónica (</w:t>
      </w:r>
      <w:proofErr w:type="spellStart"/>
      <w:r w:rsidRPr="003717EF">
        <w:t>RJSPME</w:t>
      </w:r>
      <w:proofErr w:type="spellEnd"/>
      <w:r w:rsidRPr="003717EF">
        <w:t>)</w:t>
      </w:r>
      <w:r>
        <w:t>, a</w:t>
      </w:r>
      <w:r w:rsidRPr="005E299F">
        <w:t xml:space="preserve">provado pelo Decreto-Lei n.º 91/2018, de 12 de </w:t>
      </w:r>
      <w:r>
        <w:t>n</w:t>
      </w:r>
      <w:r w:rsidRPr="005E299F">
        <w:t>ovembro.</w:t>
      </w:r>
    </w:p>
  </w:footnote>
  <w:footnote w:id="4">
    <w:p w:rsidR="00837C2C" w:rsidRDefault="00837C2C" w:rsidP="00837C2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Pr="002A619D">
          <w:rPr>
            <w:rStyle w:val="Hiperligao"/>
          </w:rPr>
          <w:t>https://www.bportugal.pt/instrucao/12019</w:t>
        </w:r>
      </w:hyperlink>
    </w:p>
  </w:footnote>
  <w:footnote w:id="5">
    <w:p w:rsidR="00837C2C" w:rsidRDefault="00837C2C" w:rsidP="00837C2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4" w:history="1">
        <w:r w:rsidRPr="002A619D">
          <w:rPr>
            <w:rStyle w:val="Hiperligao"/>
          </w:rPr>
          <w:t>https://www.bportugal.pt/instrucao/212019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33" w:rsidP="0099463E" w:rsidRDefault="006C4526">
    <w:pPr>
      <w:pStyle w:val="Instruo2"/>
      <w:rPr>
        <w:rStyle w:val="DataChar"/>
        <w:szCs w:val="20"/>
      </w:rPr>
    </w:pPr>
    <w:r w:rsidRPr="00104E51">
      <w:rPr>
        <w:b/>
      </w:rPr>
      <w:t>Instrução n.</w:t>
    </w:r>
    <w:r w:rsidRPr="00104E51">
      <w:rPr>
        <w:b/>
        <w:vertAlign w:val="superscript"/>
      </w:rPr>
      <w:t>o</w:t>
    </w:r>
    <w:r w:rsidRPr="00076E67">
      <w:rPr>
        <w:b/>
      </w:rPr>
      <w:t xml:space="preserve"> </w:t>
    </w:r>
    <w:sdt>
      <w:sdtPr>
        <w:rPr>
          <w:rStyle w:val="HeaderStyle1Char"/>
          <w:rFonts w:eastAsiaTheme="minorHAnsi"/>
        </w:rPr>
        <w:alias w:val="Nr Instrução"/>
        <w:tag w:val="CAT_111772777_65_1"/>
        <w:id w:val="1923209824"/>
      </w:sdtPr>
      <w:sdtEndPr>
        <w:rPr>
          <w:rStyle w:val="HeaderStyle1Char"/>
        </w:rPr>
      </w:sdtEndPr>
      <w:sdtContent>
        <w:r>
          <w:rPr>
            <w:rStyle w:val="HeaderStyle1Char"/>
          </w:rPr>
          <w:t>4/2021</w:t>
        </w:r>
      </w:sdtContent>
    </w:sdt>
    <w:r w:rsidRPr="00076E67">
      <w:rPr>
        <w:rStyle w:val="Instruo1Char"/>
        <w:b/>
        <w:sz w:val="20"/>
        <w:szCs w:val="20"/>
      </w:rPr>
      <w:t xml:space="preserve">  </w:t>
    </w:r>
    <w:r w:rsidRPr="00770E5F" w:rsidR="008E2133">
      <w:rPr>
        <w:rFonts w:cs="Calibri"/>
        <w:szCs w:val="20"/>
      </w:rPr>
      <w:t>BO n.</w:t>
    </w:r>
    <w:r w:rsidRPr="00770E5F" w:rsidR="008E2133">
      <w:rPr>
        <w:rFonts w:cs="Calibri"/>
        <w:szCs w:val="20"/>
        <w:vertAlign w:val="superscript"/>
      </w:rPr>
      <w:t>o</w:t>
    </w:r>
    <w:r w:rsidR="005A7F39">
      <w:rPr>
        <w:rFonts w:cs="Calibri"/>
        <w:szCs w:val="20"/>
        <w:vertAlign w:val="superscript"/>
      </w:rPr>
      <w:t xml:space="preserve"> </w:t>
    </w:r>
    <w:r w:rsidR="004809EE">
      <w:rPr>
        <w:rFonts w:cs="Calibri"/>
        <w:szCs w:val="20"/>
      </w:rPr>
      <w:t xml:space="preserve"> </w:t>
    </w:r>
    <w:sdt>
      <w:sdtPr>
        <w:rPr>
          <w:rStyle w:val="HeaderStyleChar"/>
          <w:rFonts w:asciiTheme="minorHAnsi" w:hAnsiTheme="minorHAnsi" w:eastAsiaTheme="minorHAnsi"/>
        </w:rPr>
        <w:alias w:val="Nr Bol oficial"/>
        <w:tag w:val="CAT_111772777_64_1"/>
        <w:id w:val="6233951"/>
        <w:text/>
      </w:sdtPr>
      <w:sdtEndPr>
        <w:rPr>
          <w:rStyle w:val="HeaderStyleChar"/>
        </w:rPr>
      </w:sdtEndPr>
      <w:sdtContent>
        <w:r>
          <w:rPr>
            <w:rStyle w:val="HeaderStyleChar"/>
          </w:rPr>
          <w:t>3/2021</w:t>
        </w:r>
      </w:sdtContent>
    </w:sdt>
    <w:r w:rsidR="004809EE">
      <w:rPr>
        <w:rFonts w:cs="Calibri"/>
        <w:szCs w:val="20"/>
      </w:rPr>
      <w:t xml:space="preserve"> </w:t>
    </w:r>
    <w:r w:rsidRPr="00644D8B" w:rsidR="008E2133">
      <w:rPr>
        <w:szCs w:val="20"/>
      </w:rPr>
      <w:t xml:space="preserve"> </w:t>
    </w:r>
    <w:r w:rsidRPr="0022315B" w:rsidR="008E2133">
      <w:rPr>
        <w:rFonts w:cs="Calibri"/>
        <w:sz w:val="16"/>
        <w:szCs w:val="16"/>
      </w:rPr>
      <w:t>•</w:t>
    </w:r>
    <w:r w:rsidR="004809EE">
      <w:rPr>
        <w:rFonts w:cs="Calibri"/>
        <w:sz w:val="14"/>
        <w:szCs w:val="14"/>
      </w:rPr>
      <w:t xml:space="preserve"> </w:t>
    </w:r>
    <w:r w:rsidRPr="00644D8B" w:rsidR="008E2133">
      <w:rPr>
        <w:rFonts w:cs="Calibri"/>
        <w:szCs w:val="20"/>
      </w:rPr>
      <w:t xml:space="preserve"> </w:t>
    </w:r>
    <w:sdt>
      <w:sdtPr>
        <w:rPr>
          <w:rStyle w:val="HeaderStyleChar"/>
          <w:rFonts w:asciiTheme="minorHAnsi" w:hAnsiTheme="minorHAnsi" w:eastAsiaTheme="minorHAnsi"/>
        </w:rPr>
        <w:alias w:val="Data divulgação"/>
        <w:tag w:val="CAT_111772777_63_1_SYSF"/>
        <w:id w:val="6233952"/>
        <w:text/>
      </w:sdtPr>
      <w:sdtEndPr>
        <w:rPr>
          <w:rStyle w:val="HeaderStyleChar"/>
        </w:rPr>
      </w:sdtEndPr>
      <w:sdtContent>
        <w:r>
          <w:rPr>
            <w:rStyle w:val="HeaderStyleChar"/>
          </w:rPr>
          <w:t>2021/03/15</w:t>
        </w:r>
      </w:sdtContent>
    </w:sdt>
  </w:p>
  <w:p w:rsidR="008E2133" w:rsidP="0099463E" w:rsidRDefault="008E2133">
    <w:pPr>
      <w:pStyle w:val="Cabealho"/>
      <w:ind w:right="0"/>
      <w:jc w:val="right"/>
      <w:rPr>
        <w:rStyle w:val="TemaChar"/>
        <w:szCs w:val="20"/>
      </w:rPr>
    </w:pPr>
    <w:r w:rsidRPr="00770E5F">
      <w:rPr>
        <w:szCs w:val="20"/>
      </w:rPr>
      <w:t>Temas</w:t>
    </w:r>
    <w:r>
      <w:rPr>
        <w:szCs w:val="20"/>
      </w:rPr>
      <w:t xml:space="preserve">   </w:t>
    </w:r>
    <w:r w:rsidR="00770E5F">
      <w:rPr>
        <w:szCs w:val="20"/>
      </w:rPr>
      <w:t xml:space="preserve"> </w:t>
    </w:r>
    <w:sdt>
      <w:sdtPr>
        <w:rPr>
          <w:rStyle w:val="HeaderStyle1Char"/>
          <w:rFonts w:eastAsiaTheme="minorHAnsi"/>
        </w:rPr>
        <w:alias w:val="Temas"/>
        <w:tag w:val="CAT_111772777_50_1"/>
        <w:id w:val="23664857"/>
      </w:sdtPr>
      <w:sdtEndPr>
        <w:rPr>
          <w:rStyle w:val="HeaderStyle1Char"/>
        </w:rPr>
      </w:sdtEndPr>
      <w:sdtContent>
        <w:r>
          <w:rPr>
            <w:rStyle w:val="HeaderStyle1Char"/>
          </w:rPr>
          <w:t>Supervisão :: Normas Prudenciais</w:t>
        </w:r>
      </w:sdtContent>
    </w:sdt>
  </w:p>
  <w:p w:rsidRPr="000C6DF3" w:rsidR="00A4233B" w:rsidP="00A4233B" w:rsidRDefault="00A4233B">
    <w:pPr>
      <w:pStyle w:val="Dots"/>
      <w:tabs>
        <w:tab w:val="clear" w:pos="9356"/>
      </w:tabs>
      <w:spacing w:after="0"/>
      <w:ind w:right="-142"/>
      <w:rPr>
        <w:rFonts w:asciiTheme="minorHAnsi" w:hAnsiTheme="minorHAnsi" w:cstheme="minorHAnsi"/>
        <w:sz w:val="16"/>
        <w:szCs w:val="16"/>
      </w:rPr>
    </w:pPr>
    <w:proofErr w:type="gramStart"/>
    <w:r w:rsidRPr="00BA02E0">
      <w:t>......................................................................................................</w:t>
    </w:r>
    <w:proofErr w:type="gramEnd"/>
    <w:r w:rsidRPr="00BA02E0">
      <w:t>............................</w:t>
    </w:r>
    <w:r>
      <w:t>...</w:t>
    </w:r>
    <w:r w:rsidRPr="00BA02E0">
      <w:t>...............................................</w:t>
    </w:r>
    <w:r>
      <w:t>.............</w:t>
    </w:r>
    <w:r w:rsidRPr="00BA02E0">
      <w:t>.</w:t>
    </w:r>
    <w:r w:rsidRPr="00BA02E0">
      <w:rPr>
        <w:sz w:val="16"/>
        <w:szCs w:val="16"/>
      </w:rPr>
      <w:t xml:space="preserve"> </w:t>
    </w: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B627E" w:rsidR="00CB627E" w:rsidP="008E2133" w:rsidRDefault="008E2133">
    <w:pPr>
      <w:pStyle w:val="Cabealho"/>
      <w:tabs>
        <w:tab w:val="right" w:pos="9071"/>
      </w:tabs>
      <w:ind w:left="0" w:right="0" w:firstLine="0"/>
      <w:rPr>
        <w:rStyle w:val="DataChar"/>
        <w:szCs w:val="20"/>
      </w:rPr>
    </w:pPr>
    <w:r w:rsidRPr="008E2133">
      <w:rPr>
        <w:b/>
        <w:szCs w:val="20"/>
      </w:rPr>
      <w:drawing>
        <wp:anchor distT="0" distB="0" distL="114300" distR="114300" simplePos="0" relativeHeight="251712512" behindDoc="1" locked="0" layoutInCell="1" allowOverlap="1">
          <wp:simplePos x="0" y="0"/>
          <wp:positionH relativeFrom="page">
            <wp:posOffset>453390</wp:posOffset>
          </wp:positionH>
          <wp:positionV relativeFrom="page">
            <wp:posOffset>449580</wp:posOffset>
          </wp:positionV>
          <wp:extent cx="2480310" cy="632460"/>
          <wp:effectExtent l="19050" t="0" r="0" b="0"/>
          <wp:wrapNone/>
          <wp:docPr id="1" name="Picture 0" descr="Logotipo 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B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389" cy="628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27E">
      <w:rPr>
        <w:szCs w:val="20"/>
      </w:rPr>
      <w:tab/>
    </w:r>
  </w:p>
  <w:p w:rsidRPr="0019408E" w:rsidR="008E2133" w:rsidP="009829FB" w:rsidRDefault="008E2133">
    <w:pPr>
      <w:pStyle w:val="Cabealho"/>
      <w:spacing w:before="140" w:line="276" w:lineRule="auto"/>
      <w:ind w:left="3969" w:right="0" w:hanging="3969"/>
      <w:jc w:val="right"/>
      <w:rPr>
        <w:sz w:val="32"/>
        <w:szCs w:val="32"/>
      </w:rPr>
    </w:pPr>
    <w:r w:rsidRPr="00660350">
      <w:rPr>
        <w:b/>
        <w:sz w:val="32"/>
        <w:szCs w:val="32"/>
      </w:rPr>
      <w:t>Instrução n.</w:t>
    </w:r>
    <w:r w:rsidRPr="00660350">
      <w:rPr>
        <w:b/>
        <w:sz w:val="32"/>
        <w:szCs w:val="32"/>
        <w:vertAlign w:val="superscript"/>
      </w:rPr>
      <w:t>o</w:t>
    </w:r>
    <w:r w:rsidRPr="00076E67">
      <w:rPr>
        <w:b/>
        <w:sz w:val="32"/>
        <w:szCs w:val="32"/>
      </w:rPr>
      <w:t xml:space="preserve"> </w:t>
    </w:r>
    <w:sdt>
      <w:sdtPr>
        <w:rPr>
          <w:rStyle w:val="InstruoChar"/>
        </w:rPr>
        <w:alias w:val="Nr Instrução"/>
        <w:tag w:val="CAT_111772777_65_1"/>
        <w:id w:val="262623662"/>
      </w:sdtPr>
      <w:sdtEndPr>
        <w:rPr>
          <w:rStyle w:val="InstruoChar"/>
        </w:rPr>
      </w:sdtEndPr>
      <w:sdtContent>
        <w:r>
          <w:rPr>
            <w:rStyle w:val="InstruoChar"/>
          </w:rPr>
          <w:t>4/2021</w:t>
        </w:r>
      </w:sdtContent>
    </w:sdt>
    <w:r w:rsidRPr="00076E67">
      <w:rPr>
        <w:b/>
        <w:sz w:val="32"/>
        <w:szCs w:val="32"/>
      </w:rPr>
      <w:br/>
    </w:r>
    <w:r w:rsidRPr="00770E5F">
      <w:rPr>
        <w:rFonts w:cs="Calibri"/>
        <w:szCs w:val="24"/>
      </w:rPr>
      <w:t>BO n.</w:t>
    </w:r>
    <w:r w:rsidRPr="00770E5F">
      <w:rPr>
        <w:rFonts w:cs="Calibri"/>
        <w:szCs w:val="24"/>
        <w:vertAlign w:val="superscript"/>
      </w:rPr>
      <w:t>o</w:t>
    </w:r>
    <w:r w:rsidRPr="0019408E">
      <w:rPr>
        <w:rFonts w:cs="Calibri"/>
        <w:szCs w:val="24"/>
      </w:rPr>
      <w:t xml:space="preserve"> </w:t>
    </w:r>
    <w:sdt>
      <w:sdtPr>
        <w:alias w:val="Nr Boletim Oficial"/>
        <w:tag w:val="CAT_111772777_64_1"/>
        <w:id w:val="21964305"/>
      </w:sdtPr>
      <w:sdtEndPr/>
      <w:sdtContent>
        <w:r>
          <w:t>3/2021</w:t>
        </w:r>
      </w:sdtContent>
    </w:sdt>
    <w:r>
      <w:rPr>
        <w:rFonts w:cs="Calibri"/>
        <w:szCs w:val="24"/>
      </w:rPr>
      <w:t xml:space="preserve"> </w:t>
    </w:r>
    <w:r w:rsidRPr="002F6004">
      <w:rPr>
        <w:rFonts w:cs="Calibri"/>
        <w:b/>
        <w:sz w:val="16"/>
        <w:szCs w:val="16"/>
      </w:rPr>
      <w:t>•</w:t>
    </w:r>
    <w:r w:rsidRPr="002F6004">
      <w:rPr>
        <w:rFonts w:cs="Calibri"/>
        <w:b/>
        <w:szCs w:val="24"/>
      </w:rPr>
      <w:t xml:space="preserve"> </w:t>
    </w:r>
    <w:sdt>
      <w:sdtPr>
        <w:rPr>
          <w:rStyle w:val="DataChar"/>
          <w:b/>
        </w:rPr>
        <w:alias w:val="Data divulgação"/>
        <w:tag w:val="CAT_111772777_63_1_SYSF"/>
        <w:id w:val="21964306"/>
      </w:sdtPr>
      <w:sdtEndPr>
        <w:rPr>
          <w:rStyle w:val="DataChar"/>
        </w:rPr>
      </w:sdtEndPr>
      <w:sdtContent>
        <w:r>
          <w:rPr>
            <w:rStyle w:val="DataChar"/>
          </w:rPr>
          <w:t>2021/03/15</w:t>
        </w:r>
      </w:sdtContent>
    </w:sdt>
  </w:p>
  <w:p w:rsidRPr="000C6DF3" w:rsidR="008E2133" w:rsidP="008E2133" w:rsidRDefault="008E2133">
    <w:pPr>
      <w:pStyle w:val="Dots"/>
      <w:tabs>
        <w:tab w:val="clear" w:pos="9356"/>
      </w:tabs>
      <w:spacing w:after="0"/>
      <w:ind w:right="-142"/>
      <w:rPr>
        <w:rFonts w:asciiTheme="minorHAnsi" w:hAnsiTheme="minorHAnsi" w:cstheme="minorHAnsi"/>
        <w:sz w:val="16"/>
        <w:szCs w:val="16"/>
      </w:rPr>
    </w:pPr>
    <w:proofErr w:type="gramStart"/>
    <w:r w:rsidRPr="00BA02E0">
      <w:t>......................................................................................................</w:t>
    </w:r>
    <w:proofErr w:type="gramEnd"/>
    <w:r w:rsidRPr="00BA02E0">
      <w:t>............................</w:t>
    </w:r>
    <w:r>
      <w:t>...</w:t>
    </w:r>
    <w:r w:rsidRPr="00BA02E0">
      <w:t>...............................................</w:t>
    </w:r>
    <w:r>
      <w:t>.............</w:t>
    </w:r>
    <w:r w:rsidRPr="00BA02E0">
      <w:t>.</w:t>
    </w:r>
    <w:r w:rsidRPr="00BA02E0">
      <w:rPr>
        <w:sz w:val="16"/>
        <w:szCs w:val="16"/>
      </w:rPr>
      <w:t xml:space="preserve"> </w:t>
    </w:r>
  </w:p>
  <w:p w:rsidRPr="002F6004" w:rsidR="008E2133" w:rsidP="008E2133" w:rsidRDefault="008E2133">
    <w:pPr>
      <w:pStyle w:val="Cabealho"/>
      <w:spacing w:before="60"/>
      <w:ind w:right="0"/>
      <w:jc w:val="right"/>
      <w:rPr>
        <w:sz w:val="26"/>
        <w:szCs w:val="26"/>
      </w:rPr>
    </w:pPr>
    <w:r w:rsidRPr="002F6004">
      <w:rPr>
        <w:sz w:val="26"/>
        <w:szCs w:val="26"/>
      </w:rPr>
      <w:t>Temas</w:t>
    </w:r>
  </w:p>
  <w:p w:rsidRPr="00D607FB" w:rsidR="008E2133" w:rsidP="008E2133" w:rsidRDefault="004271C9">
    <w:pPr>
      <w:pStyle w:val="Cabealho"/>
      <w:tabs>
        <w:tab w:val="right" w:pos="9071"/>
      </w:tabs>
      <w:ind w:left="0" w:right="0" w:firstLine="0"/>
      <w:jc w:val="right"/>
      <w:rPr>
        <w:sz w:val="26"/>
        <w:szCs w:val="26"/>
      </w:rPr>
    </w:pPr>
    <w:sdt>
      <w:sdtPr>
        <w:rPr>
          <w:rStyle w:val="TemaChar"/>
        </w:rPr>
        <w:alias w:val="Temas"/>
        <w:tag w:val="CAT_111772777_50_1"/>
        <w:id w:val="21964307"/>
      </w:sdtPr>
      <w:sdtEndPr>
        <w:rPr>
          <w:rStyle w:val="TemaChar"/>
        </w:rPr>
      </w:sdtEndPr>
      <w:sdtContent>
        <w:r>
          <w:rPr>
            <w:rStyle w:val="TemaChar"/>
          </w:rPr>
          <w:t>Supervisão :: Normas Prudenciais</w:t>
        </w:r>
      </w:sdtContent>
    </w:sdt>
    <w:r w:rsidRPr="00BA02E0" w:rsidR="008E2133">
      <w:rPr>
        <w:sz w:val="16"/>
        <w:szCs w:val="16"/>
      </w:rPr>
      <w:t xml:space="preserve"> </w:t>
    </w:r>
  </w:p>
  <w:p w:rsidRPr="00D607FB" w:rsidR="008E2133" w:rsidP="008E2133" w:rsidRDefault="008E2133">
    <w:pPr>
      <w:pStyle w:val="Cabealho"/>
      <w:tabs>
        <w:tab w:val="right" w:pos="9071"/>
      </w:tabs>
      <w:ind w:left="0" w:right="0" w:firstLine="0"/>
      <w:jc w:val="right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2C"/>
    <w:rsid w:val="000065D4"/>
    <w:rsid w:val="00020361"/>
    <w:rsid w:val="00022D57"/>
    <w:rsid w:val="00034EBA"/>
    <w:rsid w:val="000435FF"/>
    <w:rsid w:val="000467BB"/>
    <w:rsid w:val="0005044D"/>
    <w:rsid w:val="0005102E"/>
    <w:rsid w:val="000576B2"/>
    <w:rsid w:val="0006189C"/>
    <w:rsid w:val="00071281"/>
    <w:rsid w:val="00076E67"/>
    <w:rsid w:val="00082445"/>
    <w:rsid w:val="00082F80"/>
    <w:rsid w:val="0008355A"/>
    <w:rsid w:val="0009326A"/>
    <w:rsid w:val="000941D0"/>
    <w:rsid w:val="000A2FD4"/>
    <w:rsid w:val="000A33DA"/>
    <w:rsid w:val="000B17FA"/>
    <w:rsid w:val="000B303F"/>
    <w:rsid w:val="000C01E2"/>
    <w:rsid w:val="000C481D"/>
    <w:rsid w:val="000D4779"/>
    <w:rsid w:val="000D601B"/>
    <w:rsid w:val="000E32CD"/>
    <w:rsid w:val="000F5FF0"/>
    <w:rsid w:val="00102A86"/>
    <w:rsid w:val="001157EE"/>
    <w:rsid w:val="00116517"/>
    <w:rsid w:val="001174E7"/>
    <w:rsid w:val="00125EEC"/>
    <w:rsid w:val="001435C1"/>
    <w:rsid w:val="00146201"/>
    <w:rsid w:val="00153EB3"/>
    <w:rsid w:val="00163749"/>
    <w:rsid w:val="00165347"/>
    <w:rsid w:val="00183E03"/>
    <w:rsid w:val="0019408E"/>
    <w:rsid w:val="0019676D"/>
    <w:rsid w:val="00197F61"/>
    <w:rsid w:val="001A4F3D"/>
    <w:rsid w:val="001B6C81"/>
    <w:rsid w:val="001C1ED0"/>
    <w:rsid w:val="001C2DAA"/>
    <w:rsid w:val="001C2E36"/>
    <w:rsid w:val="001C71A9"/>
    <w:rsid w:val="001E3D03"/>
    <w:rsid w:val="001E7809"/>
    <w:rsid w:val="001F7201"/>
    <w:rsid w:val="0020376A"/>
    <w:rsid w:val="00205AF6"/>
    <w:rsid w:val="00205CF1"/>
    <w:rsid w:val="002136DB"/>
    <w:rsid w:val="00213ECE"/>
    <w:rsid w:val="00222F06"/>
    <w:rsid w:val="0022315B"/>
    <w:rsid w:val="00226327"/>
    <w:rsid w:val="002330CB"/>
    <w:rsid w:val="0025251F"/>
    <w:rsid w:val="00265265"/>
    <w:rsid w:val="0027453A"/>
    <w:rsid w:val="00276259"/>
    <w:rsid w:val="002A0638"/>
    <w:rsid w:val="002A41D5"/>
    <w:rsid w:val="002B047A"/>
    <w:rsid w:val="002B10DE"/>
    <w:rsid w:val="002B579C"/>
    <w:rsid w:val="002C450F"/>
    <w:rsid w:val="002C507B"/>
    <w:rsid w:val="002D7E47"/>
    <w:rsid w:val="002E23B3"/>
    <w:rsid w:val="002E3910"/>
    <w:rsid w:val="002E44CE"/>
    <w:rsid w:val="002E4E31"/>
    <w:rsid w:val="002E4EE4"/>
    <w:rsid w:val="002F307A"/>
    <w:rsid w:val="002F6004"/>
    <w:rsid w:val="00300E92"/>
    <w:rsid w:val="003109CB"/>
    <w:rsid w:val="00314B6D"/>
    <w:rsid w:val="003263BB"/>
    <w:rsid w:val="00334032"/>
    <w:rsid w:val="00336FB7"/>
    <w:rsid w:val="00342D8A"/>
    <w:rsid w:val="003456DB"/>
    <w:rsid w:val="003466A5"/>
    <w:rsid w:val="00350E07"/>
    <w:rsid w:val="00350FDE"/>
    <w:rsid w:val="00360760"/>
    <w:rsid w:val="00371326"/>
    <w:rsid w:val="00372B9D"/>
    <w:rsid w:val="00374871"/>
    <w:rsid w:val="00376BCB"/>
    <w:rsid w:val="003936A9"/>
    <w:rsid w:val="003A42AB"/>
    <w:rsid w:val="003A456E"/>
    <w:rsid w:val="003A59A7"/>
    <w:rsid w:val="003A6815"/>
    <w:rsid w:val="003B5592"/>
    <w:rsid w:val="003B5F0F"/>
    <w:rsid w:val="003B7AAB"/>
    <w:rsid w:val="003C3162"/>
    <w:rsid w:val="003D6B11"/>
    <w:rsid w:val="003E680B"/>
    <w:rsid w:val="003F2C75"/>
    <w:rsid w:val="004001E1"/>
    <w:rsid w:val="00401C4F"/>
    <w:rsid w:val="004024B0"/>
    <w:rsid w:val="00406CF7"/>
    <w:rsid w:val="00407AA3"/>
    <w:rsid w:val="004271C9"/>
    <w:rsid w:val="00437833"/>
    <w:rsid w:val="00450DFE"/>
    <w:rsid w:val="00455CE5"/>
    <w:rsid w:val="00462F7A"/>
    <w:rsid w:val="00463181"/>
    <w:rsid w:val="00467A51"/>
    <w:rsid w:val="004741BE"/>
    <w:rsid w:val="004809EE"/>
    <w:rsid w:val="00493ADE"/>
    <w:rsid w:val="00497036"/>
    <w:rsid w:val="004A6FDD"/>
    <w:rsid w:val="004B7A25"/>
    <w:rsid w:val="004C05F6"/>
    <w:rsid w:val="004D5FA5"/>
    <w:rsid w:val="004E1EBA"/>
    <w:rsid w:val="004E4D3A"/>
    <w:rsid w:val="004F4DF4"/>
    <w:rsid w:val="0050131F"/>
    <w:rsid w:val="00507A8B"/>
    <w:rsid w:val="00532956"/>
    <w:rsid w:val="00534413"/>
    <w:rsid w:val="0054231C"/>
    <w:rsid w:val="00545423"/>
    <w:rsid w:val="00547ADE"/>
    <w:rsid w:val="00551D85"/>
    <w:rsid w:val="00554224"/>
    <w:rsid w:val="005557B4"/>
    <w:rsid w:val="00565015"/>
    <w:rsid w:val="00566DCD"/>
    <w:rsid w:val="00592572"/>
    <w:rsid w:val="005A51F2"/>
    <w:rsid w:val="005A5D7C"/>
    <w:rsid w:val="005A7F39"/>
    <w:rsid w:val="005D0601"/>
    <w:rsid w:val="005D3CDD"/>
    <w:rsid w:val="005D6A55"/>
    <w:rsid w:val="005E2565"/>
    <w:rsid w:val="005F34A0"/>
    <w:rsid w:val="00611459"/>
    <w:rsid w:val="006148C1"/>
    <w:rsid w:val="00617EC9"/>
    <w:rsid w:val="00642444"/>
    <w:rsid w:val="00642EFD"/>
    <w:rsid w:val="00644D8B"/>
    <w:rsid w:val="00645959"/>
    <w:rsid w:val="006546D7"/>
    <w:rsid w:val="00654945"/>
    <w:rsid w:val="00660350"/>
    <w:rsid w:val="00667418"/>
    <w:rsid w:val="006755BE"/>
    <w:rsid w:val="00680A44"/>
    <w:rsid w:val="00682800"/>
    <w:rsid w:val="006A46B8"/>
    <w:rsid w:val="006B0AE4"/>
    <w:rsid w:val="006B25D5"/>
    <w:rsid w:val="006C4526"/>
    <w:rsid w:val="006C5182"/>
    <w:rsid w:val="006D3382"/>
    <w:rsid w:val="006E1668"/>
    <w:rsid w:val="006E208E"/>
    <w:rsid w:val="006E53CD"/>
    <w:rsid w:val="006F0CD2"/>
    <w:rsid w:val="006F4349"/>
    <w:rsid w:val="006F75C1"/>
    <w:rsid w:val="0070093D"/>
    <w:rsid w:val="00707BFF"/>
    <w:rsid w:val="00710FA7"/>
    <w:rsid w:val="007339F7"/>
    <w:rsid w:val="0073547C"/>
    <w:rsid w:val="00744739"/>
    <w:rsid w:val="007451D9"/>
    <w:rsid w:val="00751C00"/>
    <w:rsid w:val="0075494B"/>
    <w:rsid w:val="007621BF"/>
    <w:rsid w:val="00770E5F"/>
    <w:rsid w:val="00777CD2"/>
    <w:rsid w:val="007906BC"/>
    <w:rsid w:val="007A3FC8"/>
    <w:rsid w:val="007B2617"/>
    <w:rsid w:val="007C6EAF"/>
    <w:rsid w:val="007D65E2"/>
    <w:rsid w:val="00804C23"/>
    <w:rsid w:val="0081069E"/>
    <w:rsid w:val="00822DC4"/>
    <w:rsid w:val="00826153"/>
    <w:rsid w:val="0083334D"/>
    <w:rsid w:val="00836227"/>
    <w:rsid w:val="00837C2C"/>
    <w:rsid w:val="008418EB"/>
    <w:rsid w:val="00844FE0"/>
    <w:rsid w:val="008507C4"/>
    <w:rsid w:val="008703FF"/>
    <w:rsid w:val="008705B6"/>
    <w:rsid w:val="00875EFA"/>
    <w:rsid w:val="008852D0"/>
    <w:rsid w:val="00886072"/>
    <w:rsid w:val="008874EB"/>
    <w:rsid w:val="00895BC8"/>
    <w:rsid w:val="008A43F3"/>
    <w:rsid w:val="008D4A9D"/>
    <w:rsid w:val="008E2133"/>
    <w:rsid w:val="008E26E0"/>
    <w:rsid w:val="008E68E6"/>
    <w:rsid w:val="00904488"/>
    <w:rsid w:val="00917F98"/>
    <w:rsid w:val="00926412"/>
    <w:rsid w:val="00926EC7"/>
    <w:rsid w:val="00927BD2"/>
    <w:rsid w:val="009308AF"/>
    <w:rsid w:val="009336CA"/>
    <w:rsid w:val="00941B96"/>
    <w:rsid w:val="0094723E"/>
    <w:rsid w:val="00955CB7"/>
    <w:rsid w:val="00963837"/>
    <w:rsid w:val="00966DFA"/>
    <w:rsid w:val="00970793"/>
    <w:rsid w:val="00975A88"/>
    <w:rsid w:val="009829FB"/>
    <w:rsid w:val="00982C49"/>
    <w:rsid w:val="00990E1A"/>
    <w:rsid w:val="009912A4"/>
    <w:rsid w:val="009928D6"/>
    <w:rsid w:val="0099463E"/>
    <w:rsid w:val="009B6420"/>
    <w:rsid w:val="009C53B9"/>
    <w:rsid w:val="009C6CBD"/>
    <w:rsid w:val="009D0C4F"/>
    <w:rsid w:val="009E1AAF"/>
    <w:rsid w:val="009E5446"/>
    <w:rsid w:val="009E6AFA"/>
    <w:rsid w:val="009E7EA3"/>
    <w:rsid w:val="009F359F"/>
    <w:rsid w:val="00A01FFB"/>
    <w:rsid w:val="00A101C7"/>
    <w:rsid w:val="00A13023"/>
    <w:rsid w:val="00A2291A"/>
    <w:rsid w:val="00A41E18"/>
    <w:rsid w:val="00A4233B"/>
    <w:rsid w:val="00A47107"/>
    <w:rsid w:val="00A51C4A"/>
    <w:rsid w:val="00A51CC1"/>
    <w:rsid w:val="00A6603F"/>
    <w:rsid w:val="00A676F3"/>
    <w:rsid w:val="00A7496C"/>
    <w:rsid w:val="00A77F0F"/>
    <w:rsid w:val="00A97396"/>
    <w:rsid w:val="00AA44DD"/>
    <w:rsid w:val="00AA67E9"/>
    <w:rsid w:val="00AB01E9"/>
    <w:rsid w:val="00AB6058"/>
    <w:rsid w:val="00AB7988"/>
    <w:rsid w:val="00AC3C41"/>
    <w:rsid w:val="00AD11ED"/>
    <w:rsid w:val="00AD3275"/>
    <w:rsid w:val="00AF0950"/>
    <w:rsid w:val="00B052FD"/>
    <w:rsid w:val="00B075EF"/>
    <w:rsid w:val="00B10D5B"/>
    <w:rsid w:val="00B21BA6"/>
    <w:rsid w:val="00B24546"/>
    <w:rsid w:val="00B358A0"/>
    <w:rsid w:val="00B40DB1"/>
    <w:rsid w:val="00B45CCC"/>
    <w:rsid w:val="00B50085"/>
    <w:rsid w:val="00B5337D"/>
    <w:rsid w:val="00B54448"/>
    <w:rsid w:val="00B65E2D"/>
    <w:rsid w:val="00B66EBF"/>
    <w:rsid w:val="00B74200"/>
    <w:rsid w:val="00B74582"/>
    <w:rsid w:val="00B7657F"/>
    <w:rsid w:val="00B8675D"/>
    <w:rsid w:val="00B90A1F"/>
    <w:rsid w:val="00B9409C"/>
    <w:rsid w:val="00BA0538"/>
    <w:rsid w:val="00BA2812"/>
    <w:rsid w:val="00BA592D"/>
    <w:rsid w:val="00BB1256"/>
    <w:rsid w:val="00BB48C5"/>
    <w:rsid w:val="00BB64B4"/>
    <w:rsid w:val="00BC7F56"/>
    <w:rsid w:val="00BD0E5A"/>
    <w:rsid w:val="00BE208B"/>
    <w:rsid w:val="00BE38BA"/>
    <w:rsid w:val="00BE564F"/>
    <w:rsid w:val="00BE703E"/>
    <w:rsid w:val="00C0011E"/>
    <w:rsid w:val="00C044EE"/>
    <w:rsid w:val="00C049FD"/>
    <w:rsid w:val="00C05E95"/>
    <w:rsid w:val="00C14DF6"/>
    <w:rsid w:val="00C20DC4"/>
    <w:rsid w:val="00C221D8"/>
    <w:rsid w:val="00C251C3"/>
    <w:rsid w:val="00C30714"/>
    <w:rsid w:val="00C322C8"/>
    <w:rsid w:val="00C37EE8"/>
    <w:rsid w:val="00C46B60"/>
    <w:rsid w:val="00C500F1"/>
    <w:rsid w:val="00C51D1B"/>
    <w:rsid w:val="00C52804"/>
    <w:rsid w:val="00C6749D"/>
    <w:rsid w:val="00C70DFF"/>
    <w:rsid w:val="00C95A38"/>
    <w:rsid w:val="00CA4128"/>
    <w:rsid w:val="00CA7F59"/>
    <w:rsid w:val="00CB627E"/>
    <w:rsid w:val="00CE3C47"/>
    <w:rsid w:val="00CE554C"/>
    <w:rsid w:val="00CF42C6"/>
    <w:rsid w:val="00D17F17"/>
    <w:rsid w:val="00D20932"/>
    <w:rsid w:val="00D27A77"/>
    <w:rsid w:val="00D50FC0"/>
    <w:rsid w:val="00D51D90"/>
    <w:rsid w:val="00D54253"/>
    <w:rsid w:val="00D55B92"/>
    <w:rsid w:val="00D607FB"/>
    <w:rsid w:val="00D64112"/>
    <w:rsid w:val="00D71DAF"/>
    <w:rsid w:val="00D76093"/>
    <w:rsid w:val="00D85B93"/>
    <w:rsid w:val="00DA0999"/>
    <w:rsid w:val="00DA575F"/>
    <w:rsid w:val="00DA77DA"/>
    <w:rsid w:val="00DB068A"/>
    <w:rsid w:val="00DB44B3"/>
    <w:rsid w:val="00DE021C"/>
    <w:rsid w:val="00DE15F7"/>
    <w:rsid w:val="00DE5D82"/>
    <w:rsid w:val="00DF14A7"/>
    <w:rsid w:val="00DF414F"/>
    <w:rsid w:val="00E03F65"/>
    <w:rsid w:val="00E0620B"/>
    <w:rsid w:val="00E07EAA"/>
    <w:rsid w:val="00E10E22"/>
    <w:rsid w:val="00E21B1F"/>
    <w:rsid w:val="00E21FEC"/>
    <w:rsid w:val="00E308DD"/>
    <w:rsid w:val="00E3449A"/>
    <w:rsid w:val="00E35BD3"/>
    <w:rsid w:val="00E361FC"/>
    <w:rsid w:val="00E41D9B"/>
    <w:rsid w:val="00E73F25"/>
    <w:rsid w:val="00E754A3"/>
    <w:rsid w:val="00E840E4"/>
    <w:rsid w:val="00EA109C"/>
    <w:rsid w:val="00EA3EF3"/>
    <w:rsid w:val="00EA63B9"/>
    <w:rsid w:val="00EB1825"/>
    <w:rsid w:val="00EB2D03"/>
    <w:rsid w:val="00EB79C3"/>
    <w:rsid w:val="00EC0991"/>
    <w:rsid w:val="00EC4E5C"/>
    <w:rsid w:val="00ED1EAE"/>
    <w:rsid w:val="00EE186B"/>
    <w:rsid w:val="00EE48B7"/>
    <w:rsid w:val="00EF3397"/>
    <w:rsid w:val="00F0035A"/>
    <w:rsid w:val="00F01F7A"/>
    <w:rsid w:val="00F1309E"/>
    <w:rsid w:val="00F35113"/>
    <w:rsid w:val="00F53D35"/>
    <w:rsid w:val="00F60FAA"/>
    <w:rsid w:val="00F76A01"/>
    <w:rsid w:val="00F86AE3"/>
    <w:rsid w:val="00F87D48"/>
    <w:rsid w:val="00F87E08"/>
    <w:rsid w:val="00F9529A"/>
    <w:rsid w:val="00FA31F0"/>
    <w:rsid w:val="00FA63EB"/>
    <w:rsid w:val="00FB4588"/>
    <w:rsid w:val="00FD20F3"/>
    <w:rsid w:val="00FD32A8"/>
    <w:rsid w:val="00FE0C1F"/>
    <w:rsid w:val="00FE5591"/>
    <w:rsid w:val="00FF1E78"/>
    <w:rsid w:val="00FF5863"/>
    <w:rsid w:val="00FF703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32256E-A648-4A4C-A27B-5B03790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24"/>
    <w:pPr>
      <w:spacing w:after="0"/>
      <w:jc w:val="both"/>
    </w:pPr>
    <w:rPr>
      <w:rFonts w:ascii="Calibri" w:hAnsi="Calibri"/>
    </w:rPr>
  </w:style>
  <w:style w:type="paragraph" w:styleId="Cabealho1">
    <w:name w:val="heading 1"/>
    <w:aliases w:val="Título 1"/>
    <w:basedOn w:val="Normal"/>
    <w:next w:val="Normal"/>
    <w:link w:val="Cabealho1Carter"/>
    <w:autoRedefine/>
    <w:uiPriority w:val="9"/>
    <w:qFormat/>
    <w:rsid w:val="002B579C"/>
    <w:pPr>
      <w:keepNext/>
      <w:keepLines/>
      <w:spacing w:before="480" w:after="120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  <w:lang w:eastAsia="pt-PT"/>
    </w:rPr>
  </w:style>
  <w:style w:type="paragraph" w:styleId="Cabealho2">
    <w:name w:val="heading 2"/>
    <w:aliases w:val="Título 2"/>
    <w:basedOn w:val="Normal"/>
    <w:next w:val="Normal"/>
    <w:link w:val="Cabealho2Carter"/>
    <w:autoRedefine/>
    <w:uiPriority w:val="9"/>
    <w:unhideWhenUsed/>
    <w:qFormat/>
    <w:rsid w:val="001A4F3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4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rsid w:val="00A51CC1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color w:val="000000" w:themeColor="tex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F6004"/>
    <w:pPr>
      <w:spacing w:line="240" w:lineRule="auto"/>
      <w:ind w:left="4820" w:right="-851" w:hanging="4820"/>
    </w:pPr>
    <w:rPr>
      <w:noProof/>
      <w:sz w:val="20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F6004"/>
    <w:rPr>
      <w:rFonts w:ascii="Calibri" w:hAnsi="Calibri"/>
      <w:noProof/>
      <w:sz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0435FF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35FF"/>
    <w:rPr>
      <w:rFonts w:ascii="Calibri" w:hAnsi="Calibri"/>
      <w:sz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43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435FF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E754A3"/>
    <w:rPr>
      <w:color w:val="808080"/>
    </w:rPr>
  </w:style>
  <w:style w:type="paragraph" w:customStyle="1" w:styleId="Morada">
    <w:name w:val="Morada"/>
    <w:basedOn w:val="Normal"/>
    <w:link w:val="MoradaChar"/>
    <w:qFormat/>
    <w:rsid w:val="001A4F3D"/>
    <w:pPr>
      <w:widowControl w:val="0"/>
      <w:tabs>
        <w:tab w:val="left" w:pos="4536"/>
        <w:tab w:val="right" w:pos="9750"/>
      </w:tabs>
      <w:spacing w:line="240" w:lineRule="auto"/>
      <w:ind w:left="4536"/>
    </w:pPr>
    <w:rPr>
      <w:rFonts w:asciiTheme="minorHAnsi" w:eastAsia="Times New Roman" w:hAnsiTheme="minorHAnsi" w:cs="Times New Roman"/>
      <w:szCs w:val="18"/>
      <w:lang w:eastAsia="pt-PT"/>
    </w:rPr>
  </w:style>
  <w:style w:type="character" w:customStyle="1" w:styleId="MoradaChar">
    <w:name w:val="Morada Char"/>
    <w:basedOn w:val="Tipodeletrapredefinidodopargrafo"/>
    <w:link w:val="Morada"/>
    <w:rsid w:val="001A4F3D"/>
    <w:rPr>
      <w:rFonts w:eastAsia="Times New Roman" w:cs="Times New Roman"/>
      <w:szCs w:val="18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A51CC1"/>
    <w:rPr>
      <w:rFonts w:eastAsiaTheme="majorEastAsia" w:cstheme="majorBidi"/>
      <w:b/>
      <w:bCs/>
      <w:color w:val="000000" w:themeColor="text1"/>
      <w:sz w:val="18"/>
    </w:rPr>
  </w:style>
  <w:style w:type="paragraph" w:customStyle="1" w:styleId="Instruo">
    <w:name w:val="Instrução"/>
    <w:basedOn w:val="Cabealho"/>
    <w:link w:val="InstruoChar"/>
    <w:rsid w:val="00D54253"/>
    <w:pPr>
      <w:spacing w:before="60"/>
      <w:ind w:left="3969" w:hanging="3969"/>
      <w:jc w:val="right"/>
    </w:pPr>
    <w:rPr>
      <w:sz w:val="32"/>
      <w:szCs w:val="32"/>
    </w:rPr>
  </w:style>
  <w:style w:type="paragraph" w:customStyle="1" w:styleId="Data1">
    <w:name w:val="Data1"/>
    <w:basedOn w:val="Cabealho"/>
    <w:link w:val="DataChar"/>
    <w:qFormat/>
    <w:rsid w:val="00205CF1"/>
    <w:pPr>
      <w:spacing w:before="60"/>
      <w:ind w:left="3969" w:hanging="3969"/>
      <w:jc w:val="right"/>
    </w:pPr>
    <w:rPr>
      <w:rFonts w:cs="Calibri"/>
      <w:szCs w:val="24"/>
    </w:rPr>
  </w:style>
  <w:style w:type="character" w:customStyle="1" w:styleId="InstruoChar">
    <w:name w:val="Instrução Char"/>
    <w:basedOn w:val="CabealhoCarter"/>
    <w:link w:val="Instruo"/>
    <w:rsid w:val="00D54253"/>
    <w:rPr>
      <w:rFonts w:ascii="Calibri" w:hAnsi="Calibri"/>
      <w:b/>
      <w:noProof/>
      <w:sz w:val="32"/>
      <w:szCs w:val="32"/>
      <w:lang w:eastAsia="pt-PT"/>
    </w:rPr>
  </w:style>
  <w:style w:type="table" w:styleId="Tabelacomgrelha">
    <w:name w:val="Table Grid"/>
    <w:basedOn w:val="Tabelanormal"/>
    <w:rsid w:val="00A9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next w:val="Normal"/>
    <w:link w:val="TextoChar"/>
    <w:qFormat/>
    <w:rsid w:val="00667418"/>
    <w:pPr>
      <w:widowControl w:val="0"/>
      <w:tabs>
        <w:tab w:val="left" w:pos="850"/>
        <w:tab w:val="left" w:pos="2494"/>
        <w:tab w:val="left" w:pos="4648"/>
        <w:tab w:val="left" w:pos="6916"/>
      </w:tabs>
      <w:ind w:right="284"/>
    </w:pPr>
    <w:rPr>
      <w:rFonts w:asciiTheme="minorHAnsi" w:eastAsia="Times New Roman" w:hAnsiTheme="minorHAnsi" w:cs="Times New Roman"/>
      <w:szCs w:val="18"/>
      <w:lang w:eastAsia="pt-PT"/>
    </w:rPr>
  </w:style>
  <w:style w:type="character" w:customStyle="1" w:styleId="TextoChar">
    <w:name w:val="Texto Char"/>
    <w:basedOn w:val="Tipodeletrapredefinidodopargrafo"/>
    <w:link w:val="Texto"/>
    <w:rsid w:val="00667418"/>
    <w:rPr>
      <w:rFonts w:eastAsia="Times New Roman" w:cs="Times New Roman"/>
      <w:szCs w:val="18"/>
      <w:lang w:eastAsia="pt-PT"/>
    </w:rPr>
  </w:style>
  <w:style w:type="character" w:customStyle="1" w:styleId="Cabealho1Carter">
    <w:name w:val="Cabeçalho 1 Caráter"/>
    <w:aliases w:val="Título 1 Caráter"/>
    <w:basedOn w:val="Tipodeletrapredefinidodopargrafo"/>
    <w:link w:val="Cabealho1"/>
    <w:uiPriority w:val="9"/>
    <w:rsid w:val="002B579C"/>
    <w:rPr>
      <w:rFonts w:eastAsiaTheme="majorEastAsia" w:cstheme="majorBidi"/>
      <w:b/>
      <w:bCs/>
      <w:color w:val="000000" w:themeColor="text1"/>
      <w:sz w:val="28"/>
      <w:szCs w:val="28"/>
      <w:lang w:eastAsia="pt-PT"/>
    </w:rPr>
  </w:style>
  <w:style w:type="paragraph" w:styleId="ndice1">
    <w:name w:val="toc 1"/>
    <w:next w:val="Normal"/>
    <w:autoRedefine/>
    <w:uiPriority w:val="39"/>
    <w:unhideWhenUsed/>
    <w:qFormat/>
    <w:rsid w:val="00A41E18"/>
    <w:pPr>
      <w:spacing w:after="100"/>
    </w:pPr>
    <w:rPr>
      <w:rFonts w:eastAsia="Times New Roman" w:cs="Times New Roman"/>
      <w:b/>
      <w:sz w:val="20"/>
      <w:szCs w:val="18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rsid w:val="00B74200"/>
    <w:pPr>
      <w:spacing w:after="100"/>
      <w:ind w:left="180"/>
    </w:pPr>
  </w:style>
  <w:style w:type="character" w:styleId="Hiperligao">
    <w:name w:val="Hyperlink"/>
    <w:basedOn w:val="Tipodeletrapredefinidodopargrafo"/>
    <w:uiPriority w:val="99"/>
    <w:unhideWhenUsed/>
    <w:rsid w:val="00360760"/>
    <w:rPr>
      <w:color w:val="0000FF" w:themeColor="hyperlink"/>
      <w:u w:val="single"/>
    </w:rPr>
  </w:style>
  <w:style w:type="paragraph" w:styleId="ndiceremissivo1">
    <w:name w:val="index 1"/>
    <w:basedOn w:val="Cabealho1"/>
    <w:next w:val="Normal"/>
    <w:autoRedefine/>
    <w:uiPriority w:val="99"/>
    <w:semiHidden/>
    <w:unhideWhenUsed/>
    <w:rsid w:val="00360760"/>
    <w:pPr>
      <w:spacing w:after="0" w:line="240" w:lineRule="auto"/>
      <w:ind w:left="180" w:hanging="180"/>
    </w:pPr>
  </w:style>
  <w:style w:type="character" w:customStyle="1" w:styleId="Cabealho2Carter">
    <w:name w:val="Cabeçalho 2 Caráter"/>
    <w:aliases w:val="Título 2 Caráter"/>
    <w:basedOn w:val="Tipodeletrapredefinidodopargrafo"/>
    <w:link w:val="Cabealho2"/>
    <w:uiPriority w:val="9"/>
    <w:rsid w:val="001A4F3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tulo">
    <w:name w:val="Title"/>
    <w:aliases w:val="Título índice"/>
    <w:basedOn w:val="Normal"/>
    <w:next w:val="Normal"/>
    <w:link w:val="TtuloCarter"/>
    <w:autoRedefine/>
    <w:uiPriority w:val="10"/>
    <w:qFormat/>
    <w:rsid w:val="00A51CC1"/>
    <w:pPr>
      <w:spacing w:before="120" w:after="240" w:line="240" w:lineRule="auto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tuloCarter">
    <w:name w:val="Título Caráter"/>
    <w:aliases w:val="Título índice Caráter"/>
    <w:basedOn w:val="Tipodeletrapredefinidodopargrafo"/>
    <w:link w:val="Ttulo"/>
    <w:uiPriority w:val="10"/>
    <w:rsid w:val="00A51CC1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Subttulo">
    <w:name w:val="Subtitle"/>
    <w:link w:val="SubttuloCarter"/>
    <w:qFormat/>
    <w:rsid w:val="001A4F3D"/>
    <w:pPr>
      <w:spacing w:before="240" w:after="120"/>
    </w:pPr>
    <w:rPr>
      <w:rFonts w:eastAsiaTheme="majorEastAsia" w:cstheme="majorBidi"/>
      <w:bCs/>
      <w:color w:val="000000" w:themeColor="text1"/>
      <w:sz w:val="24"/>
    </w:rPr>
  </w:style>
  <w:style w:type="character" w:customStyle="1" w:styleId="SubttuloCarter">
    <w:name w:val="Subtítulo Caráter"/>
    <w:basedOn w:val="Tipodeletrapredefinidodopargrafo"/>
    <w:link w:val="Subttulo"/>
    <w:rsid w:val="00A41E18"/>
    <w:rPr>
      <w:rFonts w:eastAsiaTheme="majorEastAsia" w:cstheme="majorBidi"/>
      <w:bCs/>
      <w:color w:val="000000" w:themeColor="text1"/>
      <w:sz w:val="24"/>
    </w:rPr>
  </w:style>
  <w:style w:type="paragraph" w:styleId="SemEspaamento">
    <w:name w:val="No Spacing"/>
    <w:aliases w:val="Assunto"/>
    <w:uiPriority w:val="1"/>
    <w:qFormat/>
    <w:rsid w:val="001A4F3D"/>
    <w:pPr>
      <w:spacing w:after="60" w:line="240" w:lineRule="auto"/>
    </w:pPr>
    <w:rPr>
      <w:rFonts w:ascii="Calibri" w:hAnsi="Calibri"/>
    </w:rPr>
  </w:style>
  <w:style w:type="character" w:styleId="Forte">
    <w:name w:val="Strong"/>
    <w:aliases w:val="Bold,Negrito"/>
    <w:basedOn w:val="Tipodeletrapredefinidodopargrafo"/>
    <w:uiPriority w:val="22"/>
    <w:qFormat/>
    <w:rsid w:val="001A4F3D"/>
    <w:rPr>
      <w:b/>
      <w:bCs/>
    </w:rPr>
  </w:style>
  <w:style w:type="paragraph" w:customStyle="1" w:styleId="Tema">
    <w:name w:val="Tema"/>
    <w:basedOn w:val="Normal"/>
    <w:link w:val="TemaChar"/>
    <w:qFormat/>
    <w:rsid w:val="00071281"/>
    <w:pPr>
      <w:spacing w:before="60"/>
      <w:jc w:val="right"/>
    </w:pPr>
    <w:rPr>
      <w:b/>
      <w:noProof/>
      <w:sz w:val="26"/>
      <w:szCs w:val="26"/>
      <w:lang w:eastAsia="pt-PT"/>
    </w:rPr>
  </w:style>
  <w:style w:type="character" w:customStyle="1" w:styleId="DataChar">
    <w:name w:val="Data Char"/>
    <w:basedOn w:val="CabealhoCarter"/>
    <w:link w:val="Data1"/>
    <w:rsid w:val="00205CF1"/>
    <w:rPr>
      <w:rFonts w:ascii="Calibri" w:hAnsi="Calibri" w:cs="Calibri"/>
      <w:noProof/>
      <w:sz w:val="20"/>
      <w:szCs w:val="24"/>
      <w:lang w:eastAsia="pt-PT"/>
    </w:rPr>
  </w:style>
  <w:style w:type="paragraph" w:customStyle="1" w:styleId="Subttulotema">
    <w:name w:val="Subtítulo tema"/>
    <w:basedOn w:val="Cabealho"/>
    <w:link w:val="SubttulotemaChar"/>
    <w:rsid w:val="00A51CC1"/>
    <w:pPr>
      <w:spacing w:before="60"/>
      <w:jc w:val="right"/>
    </w:pPr>
    <w:rPr>
      <w:sz w:val="26"/>
      <w:szCs w:val="26"/>
    </w:rPr>
  </w:style>
  <w:style w:type="character" w:customStyle="1" w:styleId="TemaChar">
    <w:name w:val="Tema Char"/>
    <w:basedOn w:val="CabealhoCarter"/>
    <w:link w:val="Tema"/>
    <w:rsid w:val="00071281"/>
    <w:rPr>
      <w:rFonts w:ascii="Calibri" w:hAnsi="Calibri"/>
      <w:b/>
      <w:noProof/>
      <w:sz w:val="26"/>
      <w:szCs w:val="26"/>
      <w:lang w:eastAsia="pt-PT"/>
    </w:rPr>
  </w:style>
  <w:style w:type="character" w:customStyle="1" w:styleId="SubttulotemaChar">
    <w:name w:val="Subtítulo tema Char"/>
    <w:basedOn w:val="CabealhoCarter"/>
    <w:link w:val="Subttulotema"/>
    <w:rsid w:val="00A51CC1"/>
    <w:rPr>
      <w:rFonts w:ascii="Calibri" w:hAnsi="Calibri"/>
      <w:noProof/>
      <w:sz w:val="26"/>
      <w:szCs w:val="26"/>
      <w:lang w:eastAsia="pt-PT"/>
    </w:rPr>
  </w:style>
  <w:style w:type="paragraph" w:styleId="Citao">
    <w:name w:val="Quote"/>
    <w:basedOn w:val="Normal"/>
    <w:next w:val="Normal"/>
    <w:link w:val="CitaoCarter"/>
    <w:uiPriority w:val="29"/>
    <w:qFormat/>
    <w:rsid w:val="001A4F3D"/>
    <w:pPr>
      <w:ind w:left="1134"/>
    </w:pPr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A4F3D"/>
    <w:rPr>
      <w:rFonts w:ascii="Calibri" w:hAnsi="Calibri"/>
      <w:i/>
      <w:iCs/>
      <w:color w:val="000000" w:themeColor="text1"/>
    </w:rPr>
  </w:style>
  <w:style w:type="paragraph" w:customStyle="1" w:styleId="Moradaenvio">
    <w:name w:val="Morada envio"/>
    <w:link w:val="MoradaenvioChar"/>
    <w:qFormat/>
    <w:rsid w:val="001A4F3D"/>
    <w:pPr>
      <w:widowControl w:val="0"/>
      <w:tabs>
        <w:tab w:val="left" w:pos="4932"/>
        <w:tab w:val="left" w:pos="5215"/>
        <w:tab w:val="right" w:pos="9750"/>
      </w:tabs>
      <w:spacing w:after="0" w:line="240" w:lineRule="auto"/>
      <w:ind w:left="4394" w:right="-992"/>
    </w:pPr>
    <w:rPr>
      <w:rFonts w:eastAsia="Times New Roman" w:cs="Times New Roman"/>
      <w:sz w:val="18"/>
      <w:szCs w:val="18"/>
      <w:lang w:eastAsia="pt-PT"/>
    </w:rPr>
  </w:style>
  <w:style w:type="character" w:customStyle="1" w:styleId="MoradaenvioChar">
    <w:name w:val="Morada envio Char"/>
    <w:basedOn w:val="Tipodeletrapredefinidodopargrafo"/>
    <w:link w:val="Moradaenvio"/>
    <w:rsid w:val="001A4F3D"/>
    <w:rPr>
      <w:rFonts w:eastAsia="Times New Roman" w:cs="Times New Roman"/>
      <w:sz w:val="18"/>
      <w:szCs w:val="18"/>
      <w:lang w:eastAsia="pt-PT"/>
    </w:rPr>
  </w:style>
  <w:style w:type="paragraph" w:customStyle="1" w:styleId="Modelo">
    <w:name w:val="Modelo"/>
    <w:basedOn w:val="Cabealho"/>
    <w:qFormat/>
    <w:rsid w:val="001A4F3D"/>
    <w:pPr>
      <w:spacing w:before="60"/>
      <w:ind w:left="3969" w:hanging="3969"/>
      <w:jc w:val="right"/>
    </w:pPr>
    <w:rPr>
      <w:sz w:val="32"/>
      <w:szCs w:val="32"/>
    </w:rPr>
  </w:style>
  <w:style w:type="paragraph" w:customStyle="1" w:styleId="TtuloIndce">
    <w:name w:val="Título Indíce"/>
    <w:next w:val="Ttulo"/>
    <w:qFormat/>
    <w:rsid w:val="001A4F3D"/>
    <w:pPr>
      <w:spacing w:before="120" w:after="240" w:line="240" w:lineRule="auto"/>
    </w:pPr>
    <w:rPr>
      <w:rFonts w:eastAsiaTheme="majorEastAsia" w:cstheme="majorBidi"/>
      <w:b/>
      <w:bCs/>
      <w:color w:val="000000" w:themeColor="text1"/>
      <w:sz w:val="28"/>
    </w:rPr>
  </w:style>
  <w:style w:type="paragraph" w:customStyle="1" w:styleId="ndice">
    <w:name w:val="Índice"/>
    <w:basedOn w:val="ndiceremissivo1"/>
    <w:qFormat/>
    <w:rsid w:val="001A4F3D"/>
    <w:pPr>
      <w:keepNext w:val="0"/>
      <w:keepLines w:val="0"/>
      <w:spacing w:before="100" w:line="276" w:lineRule="auto"/>
      <w:ind w:left="221" w:hanging="221"/>
      <w:outlineLvl w:val="9"/>
    </w:pPr>
    <w:rPr>
      <w:rFonts w:ascii="Calibri" w:eastAsiaTheme="minorHAnsi" w:hAnsi="Calibri" w:cstheme="minorBidi"/>
      <w:bCs w:val="0"/>
      <w:color w:val="auto"/>
      <w:sz w:val="20"/>
      <w:szCs w:val="22"/>
      <w:lang w:eastAsia="en-US"/>
    </w:rPr>
  </w:style>
  <w:style w:type="paragraph" w:customStyle="1" w:styleId="Campos">
    <w:name w:val="Campos"/>
    <w:basedOn w:val="Corpodetexto"/>
    <w:qFormat/>
    <w:rsid w:val="001A4F3D"/>
    <w:pPr>
      <w:tabs>
        <w:tab w:val="left" w:pos="992"/>
      </w:tabs>
      <w:spacing w:before="60" w:after="60" w:line="240" w:lineRule="auto"/>
    </w:pPr>
    <w:rPr>
      <w:b/>
      <w:color w:val="000000" w:themeColor="text1"/>
      <w:sz w:val="18"/>
      <w:szCs w:val="16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1A4F3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1A4F3D"/>
    <w:rPr>
      <w:rFonts w:ascii="Calibri" w:hAnsi="Calibri"/>
    </w:rPr>
  </w:style>
  <w:style w:type="paragraph" w:customStyle="1" w:styleId="Emitente">
    <w:name w:val="Emitente"/>
    <w:basedOn w:val="Normal"/>
    <w:qFormat/>
    <w:rsid w:val="001A4F3D"/>
    <w:pPr>
      <w:framePr w:w="2835" w:h="1418" w:wrap="around" w:vAnchor="text" w:hAnchor="page" w:x="1986" w:y="1"/>
      <w:tabs>
        <w:tab w:val="left" w:pos="142"/>
        <w:tab w:val="left" w:pos="567"/>
        <w:tab w:val="left" w:pos="1418"/>
        <w:tab w:val="left" w:pos="1559"/>
        <w:tab w:val="left" w:pos="4253"/>
        <w:tab w:val="left" w:pos="4394"/>
      </w:tabs>
      <w:spacing w:line="240" w:lineRule="auto"/>
      <w:ind w:left="142" w:right="-28"/>
    </w:pPr>
    <w:rPr>
      <w:rFonts w:asciiTheme="minorHAnsi" w:hAnsiTheme="minorHAnsi" w:cstheme="minorHAnsi"/>
      <w:sz w:val="16"/>
      <w:szCs w:val="16"/>
    </w:rPr>
  </w:style>
  <w:style w:type="paragraph" w:customStyle="1" w:styleId="Assinatura1">
    <w:name w:val="Assinatura1"/>
    <w:basedOn w:val="Normal"/>
    <w:next w:val="Normal"/>
    <w:qFormat/>
    <w:rsid w:val="001A4F3D"/>
    <w:pPr>
      <w:spacing w:line="240" w:lineRule="auto"/>
      <w:jc w:val="center"/>
    </w:pPr>
    <w:rPr>
      <w:rFonts w:asciiTheme="minorHAnsi" w:hAnsiTheme="minorHAnsi" w:cstheme="minorHAnsi"/>
      <w:b/>
      <w:lang w:val="fr-FR"/>
    </w:rPr>
  </w:style>
  <w:style w:type="paragraph" w:customStyle="1" w:styleId="Dots">
    <w:name w:val="Dots"/>
    <w:qFormat/>
    <w:rsid w:val="001A4F3D"/>
    <w:pPr>
      <w:tabs>
        <w:tab w:val="left" w:pos="4253"/>
        <w:tab w:val="left" w:pos="4394"/>
        <w:tab w:val="left" w:pos="9356"/>
      </w:tabs>
      <w:spacing w:after="180" w:line="240" w:lineRule="auto"/>
      <w:ind w:right="-851"/>
    </w:pPr>
    <w:rPr>
      <w:rFonts w:ascii="Calibri" w:hAnsi="Calibri"/>
      <w:spacing w:val="2"/>
      <w:sz w:val="18"/>
      <w:szCs w:val="18"/>
    </w:rPr>
  </w:style>
  <w:style w:type="paragraph" w:customStyle="1" w:styleId="HeaderStyle">
    <w:name w:val="HeaderStyle"/>
    <w:basedOn w:val="Normal"/>
    <w:link w:val="HeaderStyleChar"/>
    <w:qFormat/>
    <w:rsid w:val="00DF414F"/>
    <w:pPr>
      <w:widowControl w:val="0"/>
      <w:tabs>
        <w:tab w:val="left" w:pos="850"/>
        <w:tab w:val="left" w:pos="2494"/>
        <w:tab w:val="left" w:pos="4648"/>
        <w:tab w:val="left" w:pos="6916"/>
      </w:tabs>
      <w:spacing w:line="360" w:lineRule="auto"/>
      <w:ind w:right="284"/>
    </w:pPr>
    <w:rPr>
      <w:rFonts w:eastAsia="Times New Roman" w:cs="Times New Roman"/>
      <w:sz w:val="20"/>
      <w:szCs w:val="18"/>
      <w:lang w:eastAsia="pt-PT"/>
    </w:rPr>
  </w:style>
  <w:style w:type="character" w:customStyle="1" w:styleId="HeaderStyleChar">
    <w:name w:val="HeaderStyle Char"/>
    <w:basedOn w:val="Tipodeletrapredefinidodopargrafo"/>
    <w:link w:val="HeaderStyle"/>
    <w:rsid w:val="00DF414F"/>
    <w:rPr>
      <w:rFonts w:ascii="Calibri" w:eastAsia="Times New Roman" w:hAnsi="Calibri" w:cs="Times New Roman"/>
      <w:sz w:val="20"/>
      <w:szCs w:val="18"/>
      <w:lang w:eastAsia="pt-PT"/>
    </w:rPr>
  </w:style>
  <w:style w:type="paragraph" w:customStyle="1" w:styleId="Instruo2">
    <w:name w:val="Instrução2"/>
    <w:basedOn w:val="Cabealho"/>
    <w:qFormat/>
    <w:rsid w:val="002F6004"/>
    <w:pPr>
      <w:tabs>
        <w:tab w:val="right" w:pos="9071"/>
      </w:tabs>
      <w:ind w:left="0" w:right="0" w:firstLine="0"/>
      <w:jc w:val="right"/>
    </w:pPr>
  </w:style>
  <w:style w:type="paragraph" w:customStyle="1" w:styleId="Instruo1">
    <w:name w:val="Instrução1"/>
    <w:basedOn w:val="Cabealho"/>
    <w:link w:val="Instruo1Char"/>
    <w:rsid w:val="006C4526"/>
    <w:pPr>
      <w:spacing w:before="60"/>
      <w:ind w:left="3969" w:hanging="3969"/>
      <w:jc w:val="right"/>
    </w:pPr>
    <w:rPr>
      <w:sz w:val="32"/>
      <w:szCs w:val="32"/>
    </w:rPr>
  </w:style>
  <w:style w:type="character" w:customStyle="1" w:styleId="Instruo1Char">
    <w:name w:val="Instrução1 Char"/>
    <w:basedOn w:val="CabealhoCarter"/>
    <w:link w:val="Instruo1"/>
    <w:rsid w:val="006C4526"/>
    <w:rPr>
      <w:rFonts w:ascii="Calibri" w:hAnsi="Calibri"/>
      <w:noProof/>
      <w:sz w:val="32"/>
      <w:szCs w:val="32"/>
      <w:lang w:eastAsia="pt-PT"/>
    </w:rPr>
  </w:style>
  <w:style w:type="paragraph" w:customStyle="1" w:styleId="HeaderStyle1">
    <w:name w:val="HeaderStyle1"/>
    <w:basedOn w:val="Normal"/>
    <w:link w:val="HeaderStyle1Char"/>
    <w:qFormat/>
    <w:rsid w:val="006C4526"/>
    <w:pPr>
      <w:widowControl w:val="0"/>
      <w:tabs>
        <w:tab w:val="left" w:pos="850"/>
        <w:tab w:val="left" w:pos="2494"/>
        <w:tab w:val="left" w:pos="4648"/>
        <w:tab w:val="left" w:pos="6916"/>
      </w:tabs>
      <w:spacing w:line="360" w:lineRule="auto"/>
      <w:ind w:right="284"/>
    </w:pPr>
    <w:rPr>
      <w:rFonts w:eastAsia="Times New Roman" w:cs="Times New Roman"/>
      <w:b/>
      <w:sz w:val="20"/>
      <w:szCs w:val="18"/>
      <w:lang w:eastAsia="pt-PT"/>
    </w:rPr>
  </w:style>
  <w:style w:type="character" w:customStyle="1" w:styleId="HeaderStyle1Char">
    <w:name w:val="HeaderStyle1 Char"/>
    <w:basedOn w:val="Tipodeletrapredefinidodopargrafo"/>
    <w:link w:val="HeaderStyle1"/>
    <w:rsid w:val="006C4526"/>
    <w:rPr>
      <w:rFonts w:ascii="Calibri" w:eastAsia="Times New Roman" w:hAnsi="Calibri" w:cs="Times New Roman"/>
      <w:b/>
      <w:sz w:val="20"/>
      <w:szCs w:val="18"/>
      <w:lang w:eastAsia="pt-PT"/>
    </w:rPr>
  </w:style>
  <w:style w:type="paragraph" w:styleId="Textodenotaderodap">
    <w:name w:val="footnote text"/>
    <w:basedOn w:val="Normal"/>
    <w:link w:val="TextodenotaderodapCarter"/>
    <w:unhideWhenUsed/>
    <w:qFormat/>
    <w:rsid w:val="00837C2C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37C2C"/>
    <w:rPr>
      <w:rFonts w:ascii="Calibri" w:hAnsi="Calibri"/>
      <w:sz w:val="20"/>
      <w:szCs w:val="20"/>
    </w:rPr>
  </w:style>
  <w:style w:type="character" w:styleId="Refdenotaderodap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Tipodeletrapredefinidodopargrafo"/>
    <w:unhideWhenUsed/>
    <w:qFormat/>
    <w:rsid w:val="00837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a.europa.eu/sites/default/documents/files/documents/10180/1954038/94b1a29e-d5d2-496a-ab04-58c11f3cee83/Guidelines%20on%20ICT%20Risk%20Assessment%20under%20SREP%20(EBA-GL-2017-05)_P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ba.europa.eu/sites/default/documents/files/documents/10180/2081899/f2ef7577-439f-46e6-b64a-cf548e0a4a0d/Guidelines%20on%20the%20security%20measures%20under%20PSD2%20(EBA-GL-2017-17)_PT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ba.europa.eu/sites/default/documents/files/documents/10180/2551996/38c80601-f5d7-4855-8ba3-702423665479/EBA%20revised%20Guidelines%20on%20outsourcing%20arrangements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portugal.pt/instrucao/12019" TargetMode="External"/><Relationship Id="rId2" Type="http://schemas.openxmlformats.org/officeDocument/2006/relationships/hyperlink" Target="https://eba.europa.eu/eba-publishes-guidelines-ict-and-security-risk-management" TargetMode="External"/><Relationship Id="rId1" Type="http://schemas.openxmlformats.org/officeDocument/2006/relationships/hyperlink" Target="https://www.bportugal.pt/cartacircular/cc201900000065" TargetMode="External"/><Relationship Id="rId4" Type="http://schemas.openxmlformats.org/officeDocument/2006/relationships/hyperlink" Target="https://www.bportugal.pt/instrucao/21201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UTIL\TEMPLATE\Office2013\SIBAP\Instru&#231;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0AD1D8ABC942538977CFCD5F92C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BC1EC-0AA5-4786-8DAF-446A64D8B638}"/>
      </w:docPartPr>
      <w:docPartBody>
        <w:p w:rsidR="00C40ECF" w:rsidRDefault="00715CF9">
          <w:pPr>
            <w:pStyle w:val="2E0AD1D8ABC942538977CFCD5F92CC5D"/>
          </w:pPr>
          <w:r w:rsidRPr="005F28C5">
            <w:rPr>
              <w:rStyle w:val="TextodoMarcadordePosio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CF"/>
    <w:rsid w:val="00715CF9"/>
    <w:rsid w:val="00C4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2E0AD1D8ABC942538977CFCD5F92CC5D">
    <w:name w:val="2E0AD1D8ABC942538977CFCD5F92C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38814-29FA-4390-8DA8-BABB3926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Instrução</Template>
  <TotalTime>0</TotalTime>
  <Pages>4</Pages>
  <Words>1341</Words>
  <Characters>7243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Inês Mata</dc:creator>
  <cp:lastModifiedBy>Pedro F. Fernandez</cp:lastModifiedBy>
  <cp:revision>2</cp:revision>
  <cp:lastPrinted>2014-02-11T09:36:00Z</cp:lastPrinted>
  <dcterms:created xsi:type="dcterms:W3CDTF">2021-03-10T15:50:00Z</dcterms:created>
  <dcterms:modified xsi:type="dcterms:W3CDTF">2021-03-10T15:50:00Z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d4c66a-7c8a-4c88-a41a-dc132491a08a_Enabled">
    <vt:lpwstr>true</vt:lpwstr>
  </property>
  <property fmtid="{D5CDD505-2E9C-101B-9397-08002B2CF9AE}" pid="3" name="MSIP_Label_f9d4c66a-7c8a-4c88-a41a-dc132491a08a_SetDate">
    <vt:lpwstr>2021-03-10T15:48:48Z</vt:lpwstr>
  </property>
  <property fmtid="{D5CDD505-2E9C-101B-9397-08002B2CF9AE}" pid="4" name="MSIP_Label_f9d4c66a-7c8a-4c88-a41a-dc132491a08a_Method">
    <vt:lpwstr>Privileged</vt:lpwstr>
  </property>
  <property fmtid="{D5CDD505-2E9C-101B-9397-08002B2CF9AE}" pid="5" name="MSIP_Label_f9d4c66a-7c8a-4c88-a41a-dc132491a08a_Name">
    <vt:lpwstr>Público - Sem marca de água</vt:lpwstr>
  </property>
  <property fmtid="{D5CDD505-2E9C-101B-9397-08002B2CF9AE}" pid="6" name="MSIP_Label_f9d4c66a-7c8a-4c88-a41a-dc132491a08a_SiteId">
    <vt:lpwstr>f92c299d-3d5a-4621-abd4-755e52e5161d</vt:lpwstr>
  </property>
  <property fmtid="{D5CDD505-2E9C-101B-9397-08002B2CF9AE}" pid="7" name="MSIP_Label_f9d4c66a-7c8a-4c88-a41a-dc132491a08a_ActionId">
    <vt:lpwstr>96d73621-0e1b-41d8-b37f-00001fe3eaa0</vt:lpwstr>
  </property>
  <property fmtid="{D5CDD505-2E9C-101B-9397-08002B2CF9AE}" pid="8" name="MSIP_Label_f9d4c66a-7c8a-4c88-a41a-dc132491a08a_ContentBits">
    <vt:lpwstr>0</vt:lpwstr>
  </property>
</Properties>
</file>